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15DD" w14:textId="5F9D1D7C" w:rsidR="00EC6F8D" w:rsidRPr="00293C60" w:rsidRDefault="00EC6F8D" w:rsidP="00C60B26">
      <w:pPr>
        <w:spacing w:before="1440"/>
        <w:jc w:val="center"/>
        <w:rPr>
          <w:rFonts w:ascii="Arial" w:hAnsi="Arial" w:cs="Arial"/>
          <w:b/>
          <w:sz w:val="22"/>
          <w:szCs w:val="22"/>
        </w:rPr>
      </w:pPr>
      <w:r>
        <w:rPr>
          <w:rFonts w:ascii="Arial" w:hAnsi="Arial"/>
          <w:b/>
          <w:sz w:val="22"/>
          <w:szCs w:val="22"/>
        </w:rPr>
        <w:t>CONVENTION POUR LA SAUVEGARDE</w:t>
      </w:r>
      <w:r w:rsidR="00C60B26" w:rsidRPr="00C60B26">
        <w:rPr>
          <w:rFonts w:ascii="Arial" w:hAnsi="Arial"/>
          <w:b/>
          <w:sz w:val="22"/>
          <w:szCs w:val="22"/>
        </w:rPr>
        <w:t xml:space="preserve"> </w:t>
      </w:r>
      <w:r w:rsidR="00C60B26">
        <w:rPr>
          <w:rFonts w:ascii="Arial" w:hAnsi="Arial"/>
          <w:b/>
          <w:sz w:val="22"/>
          <w:szCs w:val="22"/>
        </w:rPr>
        <w:t>DU</w:t>
      </w:r>
      <w:r>
        <w:rPr>
          <w:rFonts w:ascii="Arial" w:hAnsi="Arial"/>
          <w:b/>
          <w:sz w:val="22"/>
          <w:szCs w:val="22"/>
        </w:rPr>
        <w:br/>
        <w:t>PATRIMOINE CULTUREL IMMATÉRIEL</w:t>
      </w:r>
    </w:p>
    <w:p w14:paraId="2CB8B4ED" w14:textId="37DE16B2" w:rsidR="00EC6F8D" w:rsidRPr="00293C60" w:rsidRDefault="00EC6F8D" w:rsidP="00C60B26">
      <w:pPr>
        <w:spacing w:before="1200"/>
        <w:jc w:val="center"/>
        <w:rPr>
          <w:rFonts w:ascii="Arial" w:hAnsi="Arial" w:cs="Arial"/>
          <w:b/>
          <w:sz w:val="22"/>
          <w:szCs w:val="22"/>
        </w:rPr>
      </w:pPr>
      <w:r>
        <w:rPr>
          <w:rFonts w:ascii="Arial" w:hAnsi="Arial"/>
          <w:b/>
          <w:sz w:val="22"/>
          <w:szCs w:val="22"/>
        </w:rPr>
        <w:t>COMITÉ INTERGOUVERNEMENTAL DE SAUVEGARDE</w:t>
      </w:r>
      <w:r w:rsidR="00C60B26">
        <w:rPr>
          <w:rFonts w:ascii="Arial" w:hAnsi="Arial"/>
          <w:b/>
          <w:sz w:val="22"/>
          <w:szCs w:val="22"/>
        </w:rPr>
        <w:br/>
      </w:r>
      <w:r>
        <w:rPr>
          <w:rFonts w:ascii="Arial" w:hAnsi="Arial"/>
          <w:b/>
          <w:sz w:val="22"/>
          <w:szCs w:val="22"/>
        </w:rPr>
        <w:t xml:space="preserve">DU PATRIMOINE </w:t>
      </w:r>
      <w:bookmarkStart w:id="0" w:name="_GoBack"/>
      <w:bookmarkEnd w:id="0"/>
      <w:r>
        <w:rPr>
          <w:rFonts w:ascii="Arial" w:hAnsi="Arial"/>
          <w:b/>
          <w:sz w:val="22"/>
          <w:szCs w:val="22"/>
        </w:rPr>
        <w:t>CULTUREL IMMATÉRIEL</w:t>
      </w:r>
    </w:p>
    <w:p w14:paraId="4501A278" w14:textId="77777777" w:rsidR="00EC6F8D" w:rsidRPr="00293C60" w:rsidRDefault="00C7433F" w:rsidP="001D14FE">
      <w:pPr>
        <w:spacing w:before="840"/>
        <w:jc w:val="center"/>
        <w:rPr>
          <w:rFonts w:ascii="Arial" w:hAnsi="Arial" w:cs="Arial"/>
          <w:b/>
          <w:sz w:val="22"/>
          <w:szCs w:val="22"/>
        </w:rPr>
      </w:pPr>
      <w:r>
        <w:rPr>
          <w:rFonts w:ascii="Arial" w:hAnsi="Arial"/>
          <w:b/>
          <w:sz w:val="22"/>
          <w:szCs w:val="22"/>
        </w:rPr>
        <w:t>Treizième session</w:t>
      </w:r>
    </w:p>
    <w:p w14:paraId="6AC29C2D" w14:textId="02443D70" w:rsidR="009D5428" w:rsidRPr="00337CEB" w:rsidRDefault="001D14FE" w:rsidP="00C60B26">
      <w:pPr>
        <w:jc w:val="center"/>
        <w:rPr>
          <w:rFonts w:ascii="Arial" w:eastAsiaTheme="minorEastAsia" w:hAnsi="Arial" w:cs="Arial"/>
          <w:b/>
          <w:sz w:val="22"/>
          <w:szCs w:val="22"/>
        </w:rPr>
      </w:pPr>
      <w:r>
        <w:rPr>
          <w:rFonts w:ascii="Arial" w:hAnsi="Arial"/>
          <w:b/>
          <w:sz w:val="22"/>
          <w:szCs w:val="22"/>
        </w:rPr>
        <w:t>Port</w:t>
      </w:r>
      <w:r w:rsidR="00C60B26">
        <w:rPr>
          <w:rFonts w:ascii="Arial" w:hAnsi="Arial"/>
          <w:b/>
          <w:sz w:val="22"/>
          <w:szCs w:val="22"/>
        </w:rPr>
        <w:t>-</w:t>
      </w:r>
      <w:r>
        <w:rPr>
          <w:rFonts w:ascii="Arial" w:hAnsi="Arial"/>
          <w:b/>
          <w:sz w:val="22"/>
          <w:szCs w:val="22"/>
        </w:rPr>
        <w:t>Louis, République de Maurice</w:t>
      </w:r>
    </w:p>
    <w:p w14:paraId="46EE483C" w14:textId="741B41A2" w:rsidR="00EC6F8D" w:rsidRPr="00337CEB" w:rsidRDefault="001D14FE" w:rsidP="00C60B26">
      <w:pPr>
        <w:jc w:val="center"/>
        <w:rPr>
          <w:rFonts w:ascii="Arial" w:eastAsiaTheme="minorEastAsia" w:hAnsi="Arial" w:cs="Arial"/>
          <w:b/>
          <w:sz w:val="22"/>
          <w:szCs w:val="22"/>
        </w:rPr>
      </w:pPr>
      <w:r>
        <w:rPr>
          <w:rFonts w:ascii="Arial" w:hAnsi="Arial"/>
          <w:b/>
          <w:sz w:val="22"/>
          <w:szCs w:val="22"/>
        </w:rPr>
        <w:t xml:space="preserve">26 novembre </w:t>
      </w:r>
      <w:r w:rsidR="00C60B26">
        <w:rPr>
          <w:rFonts w:ascii="Arial" w:hAnsi="Arial"/>
          <w:b/>
          <w:sz w:val="22"/>
          <w:szCs w:val="22"/>
        </w:rPr>
        <w:t>–</w:t>
      </w:r>
      <w:r>
        <w:rPr>
          <w:rFonts w:ascii="Arial" w:hAnsi="Arial"/>
          <w:b/>
          <w:sz w:val="22"/>
          <w:szCs w:val="22"/>
        </w:rPr>
        <w:t xml:space="preserve"> 1</w:t>
      </w:r>
      <w:r w:rsidRPr="00C60B26">
        <w:rPr>
          <w:rFonts w:ascii="Arial" w:hAnsi="Arial"/>
          <w:b/>
          <w:sz w:val="22"/>
          <w:szCs w:val="22"/>
          <w:vertAlign w:val="superscript"/>
        </w:rPr>
        <w:t>er</w:t>
      </w:r>
      <w:r w:rsidR="00C60B26">
        <w:rPr>
          <w:rFonts w:ascii="Arial" w:hAnsi="Arial"/>
          <w:b/>
          <w:sz w:val="22"/>
          <w:szCs w:val="22"/>
        </w:rPr>
        <w:t xml:space="preserve"> </w:t>
      </w:r>
      <w:r>
        <w:rPr>
          <w:rFonts w:ascii="Arial" w:hAnsi="Arial"/>
          <w:b/>
          <w:sz w:val="22"/>
          <w:szCs w:val="22"/>
        </w:rPr>
        <w:t>décembre 2018</w:t>
      </w:r>
    </w:p>
    <w:p w14:paraId="3E55F020" w14:textId="36CA644D" w:rsidR="00EC6F8D" w:rsidRPr="00293C60"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8 de l</w:t>
      </w:r>
      <w:r w:rsidR="00C60B26">
        <w:rPr>
          <w:rFonts w:ascii="Arial" w:hAnsi="Arial"/>
          <w:b/>
          <w:sz w:val="22"/>
          <w:szCs w:val="22"/>
          <w:u w:val="single"/>
        </w:rPr>
        <w:t>’</w:t>
      </w:r>
      <w:r>
        <w:rPr>
          <w:rFonts w:ascii="Arial" w:hAnsi="Arial"/>
          <w:b/>
          <w:sz w:val="22"/>
          <w:szCs w:val="22"/>
          <w:u w:val="single"/>
        </w:rPr>
        <w:t>ordre du jour provisoire</w:t>
      </w:r>
      <w:r w:rsidRPr="00C60B26">
        <w:rPr>
          <w:rFonts w:ascii="Arial" w:hAnsi="Arial"/>
          <w:b/>
          <w:sz w:val="22"/>
          <w:szCs w:val="22"/>
        </w:rPr>
        <w:t> </w:t>
      </w:r>
      <w:r>
        <w:rPr>
          <w:rFonts w:ascii="Arial" w:hAnsi="Arial"/>
          <w:b/>
          <w:sz w:val="22"/>
          <w:szCs w:val="22"/>
        </w:rPr>
        <w:t>:</w:t>
      </w:r>
    </w:p>
    <w:p w14:paraId="01E9DCA9" w14:textId="77777777" w:rsidR="00EC6F8D" w:rsidRPr="005A49DA" w:rsidRDefault="005A49DA" w:rsidP="00EC6F8D">
      <w:pPr>
        <w:pStyle w:val="Sansinterligne2"/>
        <w:spacing w:after="1200"/>
        <w:jc w:val="center"/>
        <w:rPr>
          <w:rFonts w:ascii="Arial" w:hAnsi="Arial" w:cs="Arial"/>
          <w:b/>
          <w:sz w:val="22"/>
          <w:szCs w:val="22"/>
        </w:rPr>
      </w:pPr>
      <w:r>
        <w:rPr>
          <w:rFonts w:ascii="Arial" w:hAnsi="Arial"/>
          <w:b/>
          <w:sz w:val="22"/>
          <w:szCs w:val="22"/>
        </w:rPr>
        <w:t>Réforme du mécanisme des rapports périodiques</w:t>
      </w:r>
    </w:p>
    <w:tbl>
      <w:tblPr>
        <w:tblpPr w:leftFromText="180" w:rightFromText="180" w:vertAnchor="text" w:tblpXSpec="center" w:tblpY="1"/>
        <w:tblOverlap w:val="never"/>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EC6F8D" w:rsidRPr="00915736" w14:paraId="5741558F" w14:textId="77777777" w:rsidTr="00C60B26">
        <w:tc>
          <w:tcPr>
            <w:tcW w:w="5783" w:type="dxa"/>
            <w:vAlign w:val="center"/>
          </w:tcPr>
          <w:p w14:paraId="03C2FB7E" w14:textId="77777777" w:rsidR="00EC6F8D" w:rsidRPr="00293C60" w:rsidRDefault="00EC6F8D" w:rsidP="00C60B26">
            <w:pPr>
              <w:pStyle w:val="Sansinterligne1"/>
              <w:spacing w:before="200" w:after="200"/>
              <w:jc w:val="center"/>
              <w:rPr>
                <w:rFonts w:ascii="Arial" w:hAnsi="Arial" w:cs="Arial"/>
                <w:b/>
                <w:sz w:val="22"/>
                <w:szCs w:val="22"/>
              </w:rPr>
            </w:pPr>
            <w:r>
              <w:rPr>
                <w:rFonts w:ascii="Arial" w:hAnsi="Arial"/>
                <w:b/>
                <w:sz w:val="22"/>
                <w:szCs w:val="22"/>
              </w:rPr>
              <w:t>Résumé</w:t>
            </w:r>
          </w:p>
          <w:p w14:paraId="38203C74" w14:textId="59A5DAF4" w:rsidR="00107FB8" w:rsidRPr="00C60B26" w:rsidRDefault="00107FB8" w:rsidP="00C60B26">
            <w:pPr>
              <w:pStyle w:val="Sansinterligne1"/>
              <w:jc w:val="both"/>
              <w:rPr>
                <w:rFonts w:ascii="Arial" w:hAnsi="Arial" w:cs="Arial"/>
                <w:sz w:val="22"/>
                <w:szCs w:val="20"/>
              </w:rPr>
            </w:pPr>
            <w:r>
              <w:rPr>
                <w:rFonts w:ascii="Arial" w:hAnsi="Arial"/>
                <w:sz w:val="22"/>
                <w:szCs w:val="22"/>
              </w:rPr>
              <w:t>Le mécanisme des rapports périodiques fait l</w:t>
            </w:r>
            <w:r w:rsidR="00C60B26">
              <w:rPr>
                <w:rFonts w:ascii="Arial" w:hAnsi="Arial"/>
                <w:sz w:val="22"/>
                <w:szCs w:val="22"/>
              </w:rPr>
              <w:t>’</w:t>
            </w:r>
            <w:r>
              <w:rPr>
                <w:rFonts w:ascii="Arial" w:hAnsi="Arial"/>
                <w:sz w:val="22"/>
                <w:szCs w:val="22"/>
              </w:rPr>
              <w:t>objet d</w:t>
            </w:r>
            <w:r w:rsidR="00C60B26">
              <w:rPr>
                <w:rFonts w:ascii="Arial" w:hAnsi="Arial"/>
                <w:sz w:val="22"/>
                <w:szCs w:val="22"/>
              </w:rPr>
              <w:t>’</w:t>
            </w:r>
            <w:r>
              <w:rPr>
                <w:rFonts w:ascii="Arial" w:hAnsi="Arial"/>
                <w:sz w:val="22"/>
                <w:szCs w:val="22"/>
              </w:rPr>
              <w:t xml:space="preserve">une réforme pour améliorer sa qualité, son utilité et sa rapidité </w:t>
            </w:r>
            <w:r w:rsidR="00814363">
              <w:rPr>
                <w:rFonts w:ascii="Arial" w:hAnsi="Arial"/>
                <w:sz w:val="22"/>
                <w:szCs w:val="22"/>
              </w:rPr>
              <w:t xml:space="preserve">grâce à son alignement au </w:t>
            </w:r>
            <w:r>
              <w:rPr>
                <w:rFonts w:ascii="Arial" w:hAnsi="Arial"/>
                <w:sz w:val="22"/>
                <w:szCs w:val="22"/>
              </w:rPr>
              <w:t>cadre global de résultats approuvé lors de la septième session de l</w:t>
            </w:r>
            <w:r w:rsidR="00C60B26">
              <w:rPr>
                <w:rFonts w:ascii="Arial" w:hAnsi="Arial"/>
                <w:sz w:val="22"/>
                <w:szCs w:val="22"/>
              </w:rPr>
              <w:t>’</w:t>
            </w:r>
            <w:r>
              <w:rPr>
                <w:rFonts w:ascii="Arial" w:hAnsi="Arial"/>
                <w:sz w:val="22"/>
                <w:szCs w:val="22"/>
              </w:rPr>
              <w:t>Assemblée générale. Les révisions des Directives opérationnelles décidées à cette occasion permettent aux États parties de soumettre leur rapport tous les six ans selon un principe de rotation régionale (et non à compter de l</w:t>
            </w:r>
            <w:r w:rsidR="00C60B26">
              <w:rPr>
                <w:rFonts w:ascii="Arial" w:hAnsi="Arial"/>
                <w:sz w:val="22"/>
                <w:szCs w:val="22"/>
              </w:rPr>
              <w:t>’</w:t>
            </w:r>
            <w:r>
              <w:rPr>
                <w:rFonts w:ascii="Arial" w:hAnsi="Arial"/>
                <w:sz w:val="22"/>
                <w:szCs w:val="22"/>
              </w:rPr>
              <w:t>année de ratification). Le présent document fait le point sur la réforme du mécanisme des rapports périodiques, en particulier sur la période de transition qui vient de débuter et durera jusqu</w:t>
            </w:r>
            <w:r w:rsidR="00C60B26">
              <w:rPr>
                <w:rFonts w:ascii="Arial" w:hAnsi="Arial"/>
                <w:sz w:val="22"/>
                <w:szCs w:val="22"/>
              </w:rPr>
              <w:t>’</w:t>
            </w:r>
            <w:r>
              <w:rPr>
                <w:rFonts w:ascii="Arial" w:hAnsi="Arial"/>
                <w:sz w:val="22"/>
                <w:szCs w:val="22"/>
              </w:rPr>
              <w:t>en 2020, et propose une solution pour définir le calendrier du premier cycle régional de rapports.</w:t>
            </w:r>
          </w:p>
          <w:p w14:paraId="50368962" w14:textId="09EFF38A" w:rsidR="00EC6F8D" w:rsidRPr="00293C60" w:rsidRDefault="00EC6F8D" w:rsidP="00C60B26">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sidRPr="00D77DA1">
              <w:rPr>
                <w:rFonts w:ascii="Arial" w:hAnsi="Arial"/>
                <w:bCs/>
                <w:sz w:val="22"/>
                <w:szCs w:val="22"/>
              </w:rPr>
              <w:t>paragraphe 14</w:t>
            </w:r>
          </w:p>
        </w:tc>
      </w:tr>
    </w:tbl>
    <w:p w14:paraId="007C2A71" w14:textId="77777777" w:rsidR="008F629F" w:rsidRDefault="00655736" w:rsidP="006B01C8">
      <w:pPr>
        <w:pStyle w:val="COMPara"/>
        <w:numPr>
          <w:ilvl w:val="0"/>
          <w:numId w:val="13"/>
        </w:numPr>
        <w:ind w:left="567" w:hanging="567"/>
        <w:jc w:val="both"/>
      </w:pPr>
      <w:r>
        <w:br w:type="page"/>
      </w:r>
    </w:p>
    <w:p w14:paraId="3674DC36" w14:textId="77777777" w:rsidR="008F629F" w:rsidRPr="008561AD" w:rsidRDefault="00BE01DA" w:rsidP="008561AD">
      <w:pPr>
        <w:pStyle w:val="COMPara"/>
        <w:numPr>
          <w:ilvl w:val="0"/>
          <w:numId w:val="0"/>
        </w:numPr>
        <w:jc w:val="both"/>
        <w:rPr>
          <w:b/>
        </w:rPr>
      </w:pPr>
      <w:r>
        <w:rPr>
          <w:b/>
        </w:rPr>
        <w:lastRenderedPageBreak/>
        <w:t>Informations sur la réforme du mécanisme des rapports périodiques</w:t>
      </w:r>
    </w:p>
    <w:p w14:paraId="3C30CF12" w14:textId="377F0FFE" w:rsidR="00994B9A" w:rsidRDefault="00B85CD1" w:rsidP="008561AD">
      <w:pPr>
        <w:pStyle w:val="COMPara"/>
        <w:numPr>
          <w:ilvl w:val="0"/>
          <w:numId w:val="33"/>
        </w:numPr>
        <w:ind w:left="567" w:hanging="567"/>
        <w:jc w:val="both"/>
      </w:pPr>
      <w:r>
        <w:t>Les rapports périodiques permettent aux États parties de faire régulièrement le point sur les progrès accomplis et les difficultés rencontrées dans la mi</w:t>
      </w:r>
      <w:r w:rsidR="00C60B26">
        <w:t>se en œuvre de la Convention de </w:t>
      </w:r>
      <w:r>
        <w:t>2003 et, de manière générale, sur les activités de sauvegarde de leur patrimoine culturel immatériel. Ce sont des outils de suivi pour la mise en œuvre de la Convention au niveau national. Le groupe de travail intergouvernemental à composition non limitée sur l</w:t>
      </w:r>
      <w:r w:rsidR="00C60B26">
        <w:t>’</w:t>
      </w:r>
      <w:r>
        <w:t>élaboration d</w:t>
      </w:r>
      <w:r w:rsidR="00C60B26">
        <w:t>’</w:t>
      </w:r>
      <w:r>
        <w:t>un cadre global de résultats pour la Convention de 20</w:t>
      </w:r>
      <w:r w:rsidR="00C60B26">
        <w:t>03 (Chengdu, Chine, du 11 au 13 </w:t>
      </w:r>
      <w:r>
        <w:t>juin</w:t>
      </w:r>
      <w:r w:rsidR="00C60B26">
        <w:t> </w:t>
      </w:r>
      <w:r>
        <w:t>2017) a réfléchi à l</w:t>
      </w:r>
      <w:r w:rsidR="00C60B26">
        <w:t>’</w:t>
      </w:r>
      <w:r>
        <w:t>élaboration de ce cadre en détail et débattu de la manière dont son adoption permettrait de réformer le mécanisme des rapports périodiques (document </w:t>
      </w:r>
      <w:hyperlink r:id="rId8" w:history="1">
        <w:r>
          <w:rPr>
            <w:rStyle w:val="Hyperlink"/>
          </w:rPr>
          <w:t>ITH/17/12.</w:t>
        </w:r>
        <w:r w:rsidR="00C60B26">
          <w:rPr>
            <w:rStyle w:val="Hyperlink"/>
          </w:rPr>
          <w:t>COM </w:t>
        </w:r>
        <w:r>
          <w:rPr>
            <w:rStyle w:val="Hyperlink"/>
          </w:rPr>
          <w:t>WG/5</w:t>
        </w:r>
      </w:hyperlink>
      <w:r>
        <w:rPr>
          <w:rStyle w:val="atenuated"/>
        </w:rPr>
        <w:t>)</w:t>
      </w:r>
      <w:r>
        <w:t>. Il a souligné la nécessité de réformer le mécanisme des rapports périodiques pour le rendre plus utile aux États parties ainsi qu</w:t>
      </w:r>
      <w:r w:rsidR="00C60B26">
        <w:t>’</w:t>
      </w:r>
      <w:r>
        <w:t>à la Convention en général, et a adressé une recommandation en ce sens au Comité (document </w:t>
      </w:r>
      <w:hyperlink r:id="rId9" w:history="1">
        <w:r w:rsidR="00C60B26">
          <w:rPr>
            <w:rStyle w:val="Hyperlink"/>
          </w:rPr>
          <w:t>ITH/17/12.COM </w:t>
        </w:r>
        <w:r>
          <w:rPr>
            <w:rStyle w:val="Hyperlink"/>
          </w:rPr>
          <w:t>WG/7</w:t>
        </w:r>
      </w:hyperlink>
      <w:r>
        <w:t>).</w:t>
      </w:r>
    </w:p>
    <w:p w14:paraId="3784C779" w14:textId="2B2A3D70" w:rsidR="00B733DF" w:rsidRDefault="00B85CD1" w:rsidP="00C60B26">
      <w:pPr>
        <w:pStyle w:val="COMPara"/>
        <w:numPr>
          <w:ilvl w:val="0"/>
          <w:numId w:val="13"/>
        </w:numPr>
        <w:ind w:left="567" w:hanging="567"/>
        <w:jc w:val="both"/>
      </w:pPr>
      <w:r>
        <w:t>À l</w:t>
      </w:r>
      <w:r w:rsidR="00C60B26">
        <w:t>’</w:t>
      </w:r>
      <w:r>
        <w:t>occasion de sa douzième session, le Comité a souscrit à la recommandation du groupe de travail intergouvernemental à composition non limitée susmentionné et a décidé de réformer le processus de soumission des rapports périodiques en vue d</w:t>
      </w:r>
      <w:r w:rsidR="00C60B26">
        <w:t>’</w:t>
      </w:r>
      <w:r>
        <w:t>en améliorer la qualité, l</w:t>
      </w:r>
      <w:r w:rsidR="00C60B26">
        <w:t>’</w:t>
      </w:r>
      <w:r>
        <w:t xml:space="preserve">utilité et la rapidité. Il a également décidé de modifier la périodicité de soumission des rapports sur la mise en œuvre de la Convention (article 29) afin que les États parties soumettent leur rapport tous les six ans selon un principe de rotation régionale </w:t>
      </w:r>
      <w:r w:rsidR="001458A9">
        <w:t>(</w:t>
      </w:r>
      <w:hyperlink r:id="rId10" w:history="1">
        <w:r w:rsidR="00C60B26">
          <w:rPr>
            <w:rStyle w:val="Hyperlink"/>
          </w:rPr>
          <w:t>décision 12.COM </w:t>
        </w:r>
        <w:r w:rsidR="001458A9">
          <w:rPr>
            <w:rStyle w:val="Hyperlink"/>
          </w:rPr>
          <w:t>10</w:t>
        </w:r>
      </w:hyperlink>
      <w:r>
        <w:t>). Il a insisté sur le fait que ce changement permettrait aux États parties d</w:t>
      </w:r>
      <w:r w:rsidR="00C60B26">
        <w:t>’</w:t>
      </w:r>
      <w:r>
        <w:t xml:space="preserve">une région donnée de tirer plus facilement profit de la collaboration aux niveaux régional et </w:t>
      </w:r>
      <w:proofErr w:type="spellStart"/>
      <w:r>
        <w:t>sous-régional</w:t>
      </w:r>
      <w:proofErr w:type="spellEnd"/>
      <w:r>
        <w:t>, et que les activités de renforcement des capacités pour la soumission des rapports représenteraient une occasion de stimuler le dialogue et les échanges autour des expériences nationales. Sur le plan opérationnel, le passage à un cycle régional de rapports sur la mise en œuvre de la Convention et sur l</w:t>
      </w:r>
      <w:r w:rsidR="00C60B26">
        <w:t>’</w:t>
      </w:r>
      <w:r>
        <w:t>état des éléments inscrits sur la Liste représentative du patrimoine culturel immatériel de l</w:t>
      </w:r>
      <w:r w:rsidR="00C60B26">
        <w:t>’</w:t>
      </w:r>
      <w:r>
        <w:t>humanité (ci-après « Liste représentative ») nécessite avant tout la révision des Directives opérationnelles relatives à la soumission des rapports (Chapitre V – Soumission des rapports au Comité). Le Comité a souscrit aux propositions de modification du chapitre V et recommandé à l</w:t>
      </w:r>
      <w:r w:rsidR="00C60B26">
        <w:t>’</w:t>
      </w:r>
      <w:r>
        <w:t xml:space="preserve">Assemblée générale de les approuver </w:t>
      </w:r>
      <w:r w:rsidR="001458A9">
        <w:t>(</w:t>
      </w:r>
      <w:hyperlink r:id="rId11" w:history="1">
        <w:r w:rsidR="00C60B26">
          <w:rPr>
            <w:rStyle w:val="Hyperlink"/>
          </w:rPr>
          <w:t>décision 12.COM </w:t>
        </w:r>
        <w:r w:rsidR="001458A9">
          <w:rPr>
            <w:rStyle w:val="Hyperlink"/>
          </w:rPr>
          <w:t>10</w:t>
        </w:r>
      </w:hyperlink>
      <w:r>
        <w:t>).</w:t>
      </w:r>
    </w:p>
    <w:p w14:paraId="22CD4664" w14:textId="265D1E8A" w:rsidR="00FB7250" w:rsidRDefault="007154E6" w:rsidP="00B071E5">
      <w:pPr>
        <w:pStyle w:val="COMPara"/>
        <w:numPr>
          <w:ilvl w:val="0"/>
          <w:numId w:val="13"/>
        </w:numPr>
        <w:ind w:left="567" w:hanging="567"/>
        <w:jc w:val="both"/>
      </w:pPr>
      <w:r>
        <w:t>À l</w:t>
      </w:r>
      <w:r w:rsidR="00C60B26">
        <w:t>’</w:t>
      </w:r>
      <w:r>
        <w:t>occasion de sa septième session, en juin 2018, l</w:t>
      </w:r>
      <w:r w:rsidR="00C60B26">
        <w:t>’</w:t>
      </w:r>
      <w:r>
        <w:t xml:space="preserve">Assemblée générale des États parties à la Convention a approuvé le cadre global de résultats pour la Convention de 2003 </w:t>
      </w:r>
      <w:r w:rsidR="001458A9">
        <w:t>(</w:t>
      </w:r>
      <w:hyperlink r:id="rId12" w:history="1">
        <w:r w:rsidR="001458A9">
          <w:rPr>
            <w:rStyle w:val="Hyperlink"/>
          </w:rPr>
          <w:t>résolution 7.GA 9</w:t>
        </w:r>
      </w:hyperlink>
      <w:r>
        <w:t>) ainsi que les modifications apportées aux Directives opérationnelles concernant les rapports périodiques. Elle a accueilli favorablement la réforme du processus de soumission des rapports périodiques initiée par le Comité et a approuvé sa décision de passer à un cycle régional de rapports (</w:t>
      </w:r>
      <w:hyperlink r:id="rId13" w:history="1">
        <w:r>
          <w:rPr>
            <w:rStyle w:val="Hyperlink"/>
          </w:rPr>
          <w:t>résolution 7.GA</w:t>
        </w:r>
        <w:r w:rsidR="00B071E5">
          <w:rPr>
            <w:rStyle w:val="Hyperlink"/>
          </w:rPr>
          <w:t> </w:t>
        </w:r>
        <w:r>
          <w:rPr>
            <w:rStyle w:val="Hyperlink"/>
          </w:rPr>
          <w:t>10</w:t>
        </w:r>
      </w:hyperlink>
      <w:r>
        <w:t>).</w:t>
      </w:r>
    </w:p>
    <w:p w14:paraId="0036BDD0" w14:textId="768B370E" w:rsidR="00AA4589" w:rsidRPr="00C748F5" w:rsidRDefault="001D2A5E" w:rsidP="00BC7C0D">
      <w:pPr>
        <w:pStyle w:val="COMPara"/>
        <w:numPr>
          <w:ilvl w:val="0"/>
          <w:numId w:val="13"/>
        </w:numPr>
        <w:ind w:left="567" w:hanging="567"/>
        <w:jc w:val="both"/>
      </w:pPr>
      <w:r>
        <w:t>À l</w:t>
      </w:r>
      <w:r w:rsidR="00C60B26">
        <w:t>’</w:t>
      </w:r>
      <w:r>
        <w:t>occasion de cette session, l</w:t>
      </w:r>
      <w:r w:rsidR="00C60B26">
        <w:t>’</w:t>
      </w:r>
      <w:r>
        <w:t>Assemblée générale a indiqué un certain nombre de domaines sur lesquels la réforme devrait se concentrer. Premièrement, le Secrétariat est prié de réviser le formulaire ICH-10 pour l</w:t>
      </w:r>
      <w:r w:rsidR="00C60B26">
        <w:t>’</w:t>
      </w:r>
      <w:r>
        <w:t>aligner sur le cadre global de résultats. Une version en ligne sera disponible dans le cadre de la réforme en cours. Deuxièmement, le Secrétariat est encouragé à préparer des notes d</w:t>
      </w:r>
      <w:r w:rsidR="00C60B26">
        <w:t>’</w:t>
      </w:r>
      <w:r>
        <w:t xml:space="preserve">orientation pour chacun des vingt-quatre indicateurs de base (deux indicateurs supplémentaires </w:t>
      </w:r>
      <w:r w:rsidR="001458A9">
        <w:t>feront l</w:t>
      </w:r>
      <w:r w:rsidR="00C60B26">
        <w:t>’</w:t>
      </w:r>
      <w:r w:rsidR="001458A9">
        <w:t xml:space="preserve">objet de </w:t>
      </w:r>
      <w:r>
        <w:t>suivi</w:t>
      </w:r>
      <w:r w:rsidR="001458A9">
        <w:t xml:space="preserve"> et de rapport</w:t>
      </w:r>
      <w:r>
        <w:t xml:space="preserve"> uniquement au niveau mondial par le Secrétariat), ainsi que des supports d</w:t>
      </w:r>
      <w:r w:rsidR="00C60B26">
        <w:t>’</w:t>
      </w:r>
      <w:r>
        <w:t xml:space="preserve">informations pour aider les États parties et les autres acteurs à mettre en œuvre le cadre global de résultats. Troisièmement, le Secrétariat est invité à élaborer une approche axée sur le renforcement des capacités avec les supports </w:t>
      </w:r>
      <w:r w:rsidR="00514BA5">
        <w:t xml:space="preserve">de formation </w:t>
      </w:r>
      <w:r>
        <w:t>nécessaires, qui seront également alignés sur le cadre global des résultats. En fonction de la disponibilité de fonds extrabudgétaires, les activités de renforcement des capacités seront menées pour aider les États parties et les autres acteurs dans la mise en œuvre du cadre global de résultats ainsi que dans le processus de soumission des rapports périodiques.</w:t>
      </w:r>
    </w:p>
    <w:p w14:paraId="226D193A" w14:textId="79A544EA" w:rsidR="00305618" w:rsidRDefault="00305618" w:rsidP="00D77DA1">
      <w:pPr>
        <w:pStyle w:val="COMPara"/>
        <w:numPr>
          <w:ilvl w:val="0"/>
          <w:numId w:val="13"/>
        </w:numPr>
        <w:ind w:left="567" w:hanging="567"/>
        <w:jc w:val="both"/>
      </w:pPr>
      <w:r>
        <w:t xml:space="preserve">Notant le temps nécessaire pour établir le nouveau calendrier et rendre le système pleinement opérationnel, le Comité </w:t>
      </w:r>
      <w:r w:rsidR="00EC532C">
        <w:t xml:space="preserve">a demandé à être informé par le Secrétariat </w:t>
      </w:r>
      <w:r>
        <w:t>de son plan de transition pour une réforme du mécanisme de soumission des rapports périodiques lors de la présente session (</w:t>
      </w:r>
      <w:hyperlink r:id="rId14" w:history="1">
        <w:r>
          <w:rPr>
            <w:rStyle w:val="Hyperlink"/>
          </w:rPr>
          <w:t>décision</w:t>
        </w:r>
        <w:r w:rsidR="00D77DA1">
          <w:rPr>
            <w:rStyle w:val="Hyperlink"/>
          </w:rPr>
          <w:t> </w:t>
        </w:r>
        <w:r>
          <w:rPr>
            <w:rStyle w:val="Hyperlink"/>
          </w:rPr>
          <w:t>12.COM</w:t>
        </w:r>
        <w:r w:rsidR="00D77DA1">
          <w:rPr>
            <w:rStyle w:val="Hyperlink"/>
          </w:rPr>
          <w:t> </w:t>
        </w:r>
        <w:r>
          <w:rPr>
            <w:rStyle w:val="Hyperlink"/>
          </w:rPr>
          <w:t>10</w:t>
        </w:r>
      </w:hyperlink>
      <w:r>
        <w:t>). La période de transition a débuté au second semestre 2018 et se prolongera sur l</w:t>
      </w:r>
      <w:r w:rsidR="00C60B26">
        <w:t>’</w:t>
      </w:r>
      <w:r>
        <w:t>ensemble de l</w:t>
      </w:r>
      <w:r w:rsidR="00C60B26">
        <w:t>’</w:t>
      </w:r>
      <w:r>
        <w:t xml:space="preserve">année 2019. La soumission des rapports périodiques sur la </w:t>
      </w:r>
      <w:r>
        <w:lastRenderedPageBreak/>
        <w:t>mise en œuvre de la Convention et sur les éléments inscrits sur la Liste représentative a donc été suspendue pour les dates limites du 15 décembre 2018 et 2019, y compris pour les rapports en retard.</w:t>
      </w:r>
    </w:p>
    <w:p w14:paraId="4E6D9678" w14:textId="35F2C12A" w:rsidR="006B01C8" w:rsidRPr="00183158" w:rsidRDefault="00BC7C0D" w:rsidP="00C60B26">
      <w:pPr>
        <w:pStyle w:val="COMPara"/>
        <w:numPr>
          <w:ilvl w:val="0"/>
          <w:numId w:val="13"/>
        </w:numPr>
        <w:ind w:left="567" w:hanging="567"/>
        <w:jc w:val="both"/>
      </w:pPr>
      <w:r>
        <w:t>Depuis la septième session de l</w:t>
      </w:r>
      <w:r w:rsidR="00C60B26">
        <w:t>’</w:t>
      </w:r>
      <w:r>
        <w:t>Assemblée générale, le Secrétariat s</w:t>
      </w:r>
      <w:r w:rsidR="00C60B26">
        <w:t>’</w:t>
      </w:r>
      <w:r>
        <w:t>est lancé</w:t>
      </w:r>
      <w:r w:rsidR="007D2CAB">
        <w:t xml:space="preserve"> </w:t>
      </w:r>
      <w:r>
        <w:t>dans la révision du formulaire ICH-10 et la préparation des notes d</w:t>
      </w:r>
      <w:r w:rsidR="00C60B26">
        <w:t>’</w:t>
      </w:r>
      <w:r>
        <w:t>orientation</w:t>
      </w:r>
      <w:r w:rsidR="007D2CAB">
        <w:t>.</w:t>
      </w:r>
      <w:r>
        <w:t xml:space="preserve"> </w:t>
      </w:r>
      <w:r w:rsidR="007D2CAB" w:rsidRPr="007D2CAB">
        <w:t xml:space="preserve">Ces actions </w:t>
      </w:r>
      <w:r w:rsidR="007D2CAB">
        <w:t xml:space="preserve">ont été entamées </w:t>
      </w:r>
      <w:r w:rsidR="007D2CAB" w:rsidRPr="007D2CAB">
        <w:t>en parallèle car elles sont interdépendantes et l</w:t>
      </w:r>
      <w:r w:rsidR="00C60B26">
        <w:t>’</w:t>
      </w:r>
      <w:r w:rsidR="007D2CAB" w:rsidRPr="007D2CAB">
        <w:t>avancement de l</w:t>
      </w:r>
      <w:r w:rsidR="00C60B26">
        <w:t>’</w:t>
      </w:r>
      <w:r w:rsidR="007D2CAB" w:rsidRPr="007D2CAB">
        <w:t>une doit informer l</w:t>
      </w:r>
      <w:r w:rsidR="00C60B26">
        <w:t>’</w:t>
      </w:r>
      <w:r w:rsidR="007D2CAB" w:rsidRPr="007D2CAB">
        <w:t xml:space="preserve">autre et </w:t>
      </w:r>
      <w:r w:rsidR="007D2CAB">
        <w:t>vice-versa</w:t>
      </w:r>
      <w:r w:rsidR="007D2CAB" w:rsidRPr="007D2CAB">
        <w:t xml:space="preserve">; </w:t>
      </w:r>
      <w:r w:rsidR="007D2CAB">
        <w:t xml:space="preserve">les </w:t>
      </w:r>
      <w:r w:rsidRPr="007D2CAB">
        <w:t>expérience</w:t>
      </w:r>
      <w:r w:rsidR="007D2CAB">
        <w:t>s</w:t>
      </w:r>
      <w:r w:rsidRPr="007D2CAB">
        <w:t xml:space="preserve"> des autres Conventions dans le domaine de la Culture et au-delà</w:t>
      </w:r>
      <w:r w:rsidR="007D2CAB">
        <w:t xml:space="preserve"> ont été </w:t>
      </w:r>
      <w:r w:rsidR="007D2CAB" w:rsidRPr="007D2CAB">
        <w:t xml:space="preserve">également </w:t>
      </w:r>
      <w:r w:rsidR="007D2CAB">
        <w:t>considérées</w:t>
      </w:r>
      <w:r w:rsidRPr="007D2CAB">
        <w:t xml:space="preserve">. </w:t>
      </w:r>
      <w:r>
        <w:t>La révision du formulaire ICH-10 pour les rapports périodiques, l</w:t>
      </w:r>
      <w:r w:rsidR="00C60B26">
        <w:t>’</w:t>
      </w:r>
      <w:r>
        <w:t>élaboration de l</w:t>
      </w:r>
      <w:r w:rsidR="00C60B26">
        <w:t>’</w:t>
      </w:r>
      <w:r>
        <w:t xml:space="preserve">approche </w:t>
      </w:r>
      <w:r w:rsidR="00514BA5">
        <w:t xml:space="preserve">de renforcement des capacités </w:t>
      </w:r>
      <w:r>
        <w:t xml:space="preserve">et des supports </w:t>
      </w:r>
      <w:r w:rsidR="00514BA5">
        <w:t xml:space="preserve">de formation, ainsi que </w:t>
      </w:r>
      <w:r>
        <w:t>l</w:t>
      </w:r>
      <w:r w:rsidR="00C60B26">
        <w:t>’</w:t>
      </w:r>
      <w:r>
        <w:t>adaptation de l</w:t>
      </w:r>
      <w:r w:rsidR="00C60B26">
        <w:t>’</w:t>
      </w:r>
      <w:r>
        <w:t>outil de rapport en ligne se poursuivront jusqu</w:t>
      </w:r>
      <w:r w:rsidR="00C60B26">
        <w:t>’</w:t>
      </w:r>
      <w:r>
        <w:t>à la fin 2019, avec un compte rendu au Comité à l</w:t>
      </w:r>
      <w:r w:rsidR="00C60B26">
        <w:t>’</w:t>
      </w:r>
      <w:r>
        <w:t>occasion de sa quatorzième session. Début 2020, le Secrétariat devrait être prêt à déployer les nouvelles procédures de soumission des rapports périodiques sur la mise en œuvre de la Convention ainsi que les activités de renforcement des capacités dans la première région.</w:t>
      </w:r>
    </w:p>
    <w:p w14:paraId="5D324F9C" w14:textId="73267DC2" w:rsidR="00305298" w:rsidRDefault="00305298" w:rsidP="00C60B26">
      <w:pPr>
        <w:pStyle w:val="COMPara"/>
        <w:numPr>
          <w:ilvl w:val="0"/>
          <w:numId w:val="13"/>
        </w:numPr>
        <w:ind w:left="567" w:hanging="567"/>
        <w:jc w:val="both"/>
      </w:pPr>
      <w:r>
        <w:t>La réforme du mécanisme de soumission des rapports périodiques et, notamment, la révision du formulaire ICH-10, sont soutenues par la généreuse contribution volontaire supplémentaire de la République de Corée au Fonds du patrimoine culturel immatériel, à hauteur de 300 000 dollars des États-Unis, qui a été approuvée par le Comité lors de sa onzième session (</w:t>
      </w:r>
      <w:hyperlink r:id="rId15" w:history="1">
        <w:r>
          <w:rPr>
            <w:rStyle w:val="Hyperlink"/>
          </w:rPr>
          <w:t>décision 11.COM</w:t>
        </w:r>
        <w:r w:rsidR="00C60B26">
          <w:rPr>
            <w:rStyle w:val="Hyperlink"/>
          </w:rPr>
          <w:t> </w:t>
        </w:r>
        <w:r>
          <w:rPr>
            <w:rStyle w:val="Hyperlink"/>
          </w:rPr>
          <w:t>6</w:t>
        </w:r>
      </w:hyperlink>
      <w:r>
        <w:t>).</w:t>
      </w:r>
    </w:p>
    <w:p w14:paraId="6E250197" w14:textId="7E5DF665" w:rsidR="00183158" w:rsidRDefault="00305298" w:rsidP="00D77D62">
      <w:pPr>
        <w:pStyle w:val="COMPara"/>
        <w:numPr>
          <w:ilvl w:val="0"/>
          <w:numId w:val="13"/>
        </w:numPr>
        <w:ind w:left="567" w:hanging="567"/>
        <w:jc w:val="both"/>
      </w:pPr>
      <w:r>
        <w:t>Pour le moment, la révision du mécanisme de soumission des rapports périodiques ne concerne pas la procédure de soumission de rapports sur l</w:t>
      </w:r>
      <w:r w:rsidR="00C60B26">
        <w:t>’</w:t>
      </w:r>
      <w:r>
        <w:t>état des éléments inscrits sur la Liste du patrimoine culturel immatériel nécessitant une sauvegarde urgente (ci-après, « Liste de sauvegarde urgente »). Le Comité a, en effet, entamé une réflexion sur l</w:t>
      </w:r>
      <w:r w:rsidR="00C60B26">
        <w:t>’</w:t>
      </w:r>
      <w:r>
        <w:t>avenir des Listes et certaines procédures importantes associées, telles que le transfert et le retrait d</w:t>
      </w:r>
      <w:r w:rsidR="00C60B26">
        <w:t>’</w:t>
      </w:r>
      <w:r>
        <w:t>éléments déjà inscrits (</w:t>
      </w:r>
      <w:hyperlink r:id="rId16" w:history="1">
        <w:r w:rsidRPr="00C60B26">
          <w:rPr>
            <w:rStyle w:val="Hyperlink"/>
          </w:rPr>
          <w:t>décision </w:t>
        </w:r>
        <w:r w:rsidR="007D2CAB" w:rsidRPr="00C60B26">
          <w:rPr>
            <w:rStyle w:val="Hyperlink"/>
          </w:rPr>
          <w:t>12.COM 14</w:t>
        </w:r>
      </w:hyperlink>
      <w:r>
        <w:t xml:space="preserve">), et sur le suivi des éléments inscrits (voir </w:t>
      </w:r>
      <w:r w:rsidR="00C60B26">
        <w:t xml:space="preserve">le </w:t>
      </w:r>
      <w:r>
        <w:t xml:space="preserve">document </w:t>
      </w:r>
      <w:hyperlink r:id="rId17" w:history="1">
        <w:r w:rsidRPr="00C60B26">
          <w:rPr>
            <w:rStyle w:val="Hyperlink"/>
          </w:rPr>
          <w:t>ITH/18/13.COM/9</w:t>
        </w:r>
      </w:hyperlink>
      <w:r>
        <w:t>). Lorsque cette réflexion aura mûri, le Comité sera mieux à même de déterminer s</w:t>
      </w:r>
      <w:r w:rsidR="00C60B26">
        <w:t>’</w:t>
      </w:r>
      <w:r>
        <w:t>il est préférable d</w:t>
      </w:r>
      <w:r w:rsidR="00C60B26">
        <w:t>’</w:t>
      </w:r>
      <w:r>
        <w:t>aligner le mécanisme de soumission des rapports relatifs à la Liste de sauvegarde urgente sur le calendrier régional ou de conserver un système séparé, comme cela est le cas actuellement, selon un calendrier quadriennal et en fonction de l</w:t>
      </w:r>
      <w:r w:rsidR="00C60B26">
        <w:t>’</w:t>
      </w:r>
      <w:r>
        <w:t>année d</w:t>
      </w:r>
      <w:r w:rsidR="00C60B26">
        <w:t>’</w:t>
      </w:r>
      <w:r>
        <w:t>inscription. En outre, il n</w:t>
      </w:r>
      <w:r w:rsidR="00C60B26">
        <w:t>’</w:t>
      </w:r>
      <w:r>
        <w:t>a pas été proposé de réviser la procédure relative aux États non parties à la Convention qui soumettent des rapports sur des éléments inscrits sur la Liste représentative. Cette procédure ne concerne à l</w:t>
      </w:r>
      <w:r w:rsidR="00C60B26">
        <w:t>’</w:t>
      </w:r>
      <w:r>
        <w:t>heure actuelle qu</w:t>
      </w:r>
      <w:r w:rsidR="00C60B26">
        <w:t>’</w:t>
      </w:r>
      <w:r>
        <w:t>un seul État. Ce processus de soumission de rapports continuera à suivre un cycle de six ans, en fonction de l</w:t>
      </w:r>
      <w:r w:rsidR="00C60B26">
        <w:t>’</w:t>
      </w:r>
      <w:r>
        <w:t>année d</w:t>
      </w:r>
      <w:r w:rsidR="00C60B26">
        <w:t>’</w:t>
      </w:r>
      <w:r>
        <w:t>intégration des Chefs-d</w:t>
      </w:r>
      <w:r w:rsidR="00C60B26">
        <w:t>’</w:t>
      </w:r>
      <w:r>
        <w:t xml:space="preserve">œuvre dans </w:t>
      </w:r>
      <w:r w:rsidR="00C60B26">
        <w:t>la Liste représentative (2008).</w:t>
      </w:r>
    </w:p>
    <w:p w14:paraId="6ED83651" w14:textId="77777777" w:rsidR="009702A5" w:rsidRPr="008561AD" w:rsidRDefault="009702A5" w:rsidP="008561AD">
      <w:pPr>
        <w:pStyle w:val="COMPara"/>
        <w:numPr>
          <w:ilvl w:val="0"/>
          <w:numId w:val="0"/>
        </w:numPr>
        <w:spacing w:before="240"/>
        <w:jc w:val="both"/>
        <w:rPr>
          <w:b/>
        </w:rPr>
      </w:pPr>
      <w:bookmarkStart w:id="1" w:name="_Ref524960065"/>
      <w:r>
        <w:rPr>
          <w:b/>
        </w:rPr>
        <w:t>Calendrier du premier cycle régional de soumission des rapports</w:t>
      </w:r>
    </w:p>
    <w:p w14:paraId="1E72822C" w14:textId="77F36ABA" w:rsidR="00305618" w:rsidRPr="0008597B" w:rsidRDefault="006F0FE4" w:rsidP="00C60B26">
      <w:pPr>
        <w:pStyle w:val="COMPara"/>
        <w:numPr>
          <w:ilvl w:val="0"/>
          <w:numId w:val="13"/>
        </w:numPr>
        <w:ind w:left="567" w:hanging="567"/>
        <w:jc w:val="both"/>
      </w:pPr>
      <w:r>
        <w:t xml:space="preserve">Suite à la </w:t>
      </w:r>
      <w:hyperlink r:id="rId18" w:history="1">
        <w:r w:rsidR="00C60B26">
          <w:rPr>
            <w:rStyle w:val="Hyperlink"/>
          </w:rPr>
          <w:t>décision </w:t>
        </w:r>
        <w:r>
          <w:rPr>
            <w:rStyle w:val="Hyperlink"/>
          </w:rPr>
          <w:t>12.COM</w:t>
        </w:r>
        <w:r w:rsidR="00C60B26">
          <w:rPr>
            <w:rStyle w:val="Hyperlink"/>
          </w:rPr>
          <w:t> </w:t>
        </w:r>
        <w:r>
          <w:rPr>
            <w:rStyle w:val="Hyperlink"/>
          </w:rPr>
          <w:t>10</w:t>
        </w:r>
      </w:hyperlink>
      <w:r>
        <w:t>, le Comité doit établir le calendrier du premier cycle régional de soumission des rapports à l</w:t>
      </w:r>
      <w:r w:rsidR="00C60B26">
        <w:t>’</w:t>
      </w:r>
      <w:r>
        <w:t xml:space="preserve">occasion de la présente session. Une première option a été identifiée dans le document </w:t>
      </w:r>
      <w:hyperlink r:id="rId19" w:history="1">
        <w:r>
          <w:rPr>
            <w:rStyle w:val="Hyperlink"/>
          </w:rPr>
          <w:t>ITH/17/12.COM/10</w:t>
        </w:r>
      </w:hyperlink>
      <w:r>
        <w:t xml:space="preserve"> proposant un calendrier de six ans, avec une année par groupe électoral de l</w:t>
      </w:r>
      <w:r w:rsidR="00C60B26">
        <w:t>’</w:t>
      </w:r>
      <w:r>
        <w:t>UNESCO correspondant aux groupements d</w:t>
      </w:r>
      <w:r w:rsidR="00C60B26">
        <w:t>’</w:t>
      </w:r>
      <w:r>
        <w:t>États membres pour les élections au Conseil exécutif</w:t>
      </w:r>
      <w:r w:rsidR="00263114" w:rsidRPr="00311348">
        <w:rPr>
          <w:rStyle w:val="FootnoteReference"/>
        </w:rPr>
        <w:footnoteReference w:id="1"/>
      </w:r>
      <w:r w:rsidR="007D2CAB">
        <w:t xml:space="preserve"> (</w:t>
      </w:r>
      <w:r w:rsidR="007D2CAB" w:rsidRPr="007D2CAB">
        <w:t>étant entendu que le «</w:t>
      </w:r>
      <w:r w:rsidR="007D2CAB">
        <w:t> </w:t>
      </w:r>
      <w:r w:rsidR="007D2CAB" w:rsidRPr="007D2CAB">
        <w:t>groupe électoral V</w:t>
      </w:r>
      <w:r w:rsidR="007D2CAB">
        <w:t> </w:t>
      </w:r>
      <w:r w:rsidR="007D2CAB" w:rsidRPr="007D2CAB">
        <w:t>» se compose de deux groupes distincts pour les États africains et les États arabes, respectivement</w:t>
      </w:r>
      <w:r w:rsidR="007D2CAB">
        <w:t>)</w:t>
      </w:r>
      <w:r>
        <w:t>. Dans ce scénario, le cycle commencerait par les actions entreprises en 2020 dans le premier groupe électoral. Les progrès accomplis dans ce groupe électoral seraient présentés au Comité à l</w:t>
      </w:r>
      <w:r w:rsidR="00C60B26">
        <w:t>’</w:t>
      </w:r>
      <w:r>
        <w:t>occasion de sa quinzième session fin 2020. Les rapports des États parties du premier groupe électoral seraient sou</w:t>
      </w:r>
      <w:r w:rsidR="00C60B26">
        <w:t>mis au plus tard le 15 décembre </w:t>
      </w:r>
      <w:r>
        <w:t>2020 pour être examinés par le Comité à l</w:t>
      </w:r>
      <w:r w:rsidR="00C60B26">
        <w:t>’</w:t>
      </w:r>
      <w:r>
        <w:t>occasion de sa seizième session en 2021. Parallèlement, les États parties du deuxième groupe électoral commenceraient à préparer leurs rapports périodiques en 2021 pour l</w:t>
      </w:r>
      <w:r w:rsidR="00C60B26">
        <w:t>es soumettre au plus tard le 15 décembre </w:t>
      </w:r>
      <w:r>
        <w:t>2021. Ce processus serait répété pour les autres groupes électoraux et le Comité terminerait l</w:t>
      </w:r>
      <w:r w:rsidR="00C60B26">
        <w:t>’</w:t>
      </w:r>
      <w:r>
        <w:t xml:space="preserve">examen des rapports </w:t>
      </w:r>
      <w:r>
        <w:lastRenderedPageBreak/>
        <w:t xml:space="preserve">des six groupes électoraux en 2026. Le deuxième cycle commencerait donc </w:t>
      </w:r>
      <w:r w:rsidR="007D2CAB">
        <w:t xml:space="preserve">immédiatement </w:t>
      </w:r>
      <w:r>
        <w:t>en 2027.</w:t>
      </w:r>
    </w:p>
    <w:p w14:paraId="29F8A36F" w14:textId="7AFCE194" w:rsidR="00285A2D" w:rsidRPr="008561AD" w:rsidRDefault="00151381" w:rsidP="008561AD">
      <w:pPr>
        <w:pStyle w:val="COMPara"/>
        <w:numPr>
          <w:ilvl w:val="0"/>
          <w:numId w:val="13"/>
        </w:numPr>
        <w:spacing w:before="120"/>
        <w:ind w:left="567" w:hanging="567"/>
        <w:jc w:val="both"/>
      </w:pPr>
      <w:r>
        <w:t>Une autre option a été suggérée lors du débat général sur la révision des Directives opérationnelles sur la soumission des rapports périodiques à l</w:t>
      </w:r>
      <w:r w:rsidR="00C60B26">
        <w:t>’</w:t>
      </w:r>
      <w:r>
        <w:t xml:space="preserve">occasion de la douzième session du Comité en 2017. Elle revient sur les différences entre les notions de « région » et de « groupe électoral », qui ont un impact important sur le calendrier qui doit être établi. Une décision claire à ce sujet doit être prise pour que les États parties sachent exactement quand soumettre leur rapport. Cette </w:t>
      </w:r>
      <w:r w:rsidR="00485AE3">
        <w:t xml:space="preserve">deuxième </w:t>
      </w:r>
      <w:r>
        <w:t>option propose de suivre le même cycle régional de soumission des rapports que pour la Convention de 1972 concernant la protection du patrimoine mondial, culturel et naturel, qui prévoit que les groupes électoraux I et II soumettent leur rapport ensemble la même année pour la région « Europe ». Cinq régions sont ainsi identifiées, selon la définition des régions en vue de l</w:t>
      </w:r>
      <w:r w:rsidR="00C60B26">
        <w:t>’</w:t>
      </w:r>
      <w:r>
        <w:t>exécution des activités de caractère régional des Textes fondamentaux de l</w:t>
      </w:r>
      <w:r w:rsidR="00C60B26">
        <w:t>’</w:t>
      </w:r>
      <w:r>
        <w:t>UNESCO</w:t>
      </w:r>
      <w:r w:rsidR="004E2752">
        <w:rPr>
          <w:rStyle w:val="FootnoteReference"/>
        </w:rPr>
        <w:footnoteReference w:id="2"/>
      </w:r>
      <w:r>
        <w:t>.</w:t>
      </w:r>
      <w:bookmarkEnd w:id="1"/>
    </w:p>
    <w:p w14:paraId="738CE8C9" w14:textId="04D29ADD" w:rsidR="0054676D" w:rsidRDefault="0054676D" w:rsidP="00FB382A">
      <w:pPr>
        <w:pStyle w:val="COMPara"/>
        <w:numPr>
          <w:ilvl w:val="0"/>
          <w:numId w:val="13"/>
        </w:numPr>
        <w:spacing w:before="120"/>
        <w:ind w:left="567" w:hanging="567"/>
        <w:jc w:val="both"/>
      </w:pPr>
      <w:r>
        <w:t>Compte tenu des scénarios ci-dessus, le Comité peut choisir l</w:t>
      </w:r>
      <w:r w:rsidR="00C60B26">
        <w:t>’</w:t>
      </w:r>
      <w:r>
        <w:t>une des deux options suivantes :</w:t>
      </w:r>
    </w:p>
    <w:p w14:paraId="36FC41A2" w14:textId="411BD690" w:rsidR="000B3A7B" w:rsidRPr="007316E4" w:rsidRDefault="00A13708" w:rsidP="00D77DA1">
      <w:pPr>
        <w:pStyle w:val="COMPara"/>
        <w:numPr>
          <w:ilvl w:val="0"/>
          <w:numId w:val="35"/>
        </w:numPr>
        <w:spacing w:before="120"/>
        <w:ind w:left="1134" w:hanging="567"/>
        <w:jc w:val="both"/>
      </w:pPr>
      <w:r>
        <w:t>Calendrier de six ans, suivant la structure des groupes électoraux définie dans le Règlement intérieur de la Conférence générale, consacrant chaque année à un groupe électoral (annexe I).</w:t>
      </w:r>
    </w:p>
    <w:p w14:paraId="60450E6C" w14:textId="6FFC42E0" w:rsidR="004E2752" w:rsidRDefault="004E2752" w:rsidP="00D77DA1">
      <w:pPr>
        <w:pStyle w:val="COMPara"/>
        <w:numPr>
          <w:ilvl w:val="0"/>
          <w:numId w:val="35"/>
        </w:numPr>
        <w:spacing w:before="120"/>
        <w:ind w:left="1134" w:hanging="567"/>
        <w:jc w:val="both"/>
      </w:pPr>
      <w:r>
        <w:t>Calendrier de six ans fondé sur la structure de soumission des rapports de la Convention du patrimoine mondial de 1972, associant les groupes électoraux I et II, pour obtenir cinq groupes régionaux (annexe II) soumettant leur rapport sur cinq années consécutives. La sixième année pourrait être une année de réflexion consacrée à l</w:t>
      </w:r>
      <w:r w:rsidR="00C60B26">
        <w:t>’</w:t>
      </w:r>
      <w:r>
        <w:t>évaluation du mécanisme de soumission des rapports périodiques. Cette pause permettrait également de procéder aux révisions nécessaires avant le début du nouveau cycle de soumission de rapports de six ans.</w:t>
      </w:r>
    </w:p>
    <w:p w14:paraId="486BA2F8" w14:textId="3A2F8D21" w:rsidR="007F6E51" w:rsidRDefault="000323EF" w:rsidP="00B5341A">
      <w:pPr>
        <w:pStyle w:val="COMPara"/>
        <w:numPr>
          <w:ilvl w:val="0"/>
          <w:numId w:val="13"/>
        </w:numPr>
        <w:spacing w:before="120"/>
        <w:ind w:left="567" w:hanging="567"/>
        <w:jc w:val="both"/>
      </w:pPr>
      <w:r>
        <w:t>Le Comité devra également décider de l</w:t>
      </w:r>
      <w:r w:rsidR="00C60B26">
        <w:t>’</w:t>
      </w:r>
      <w:r>
        <w:t xml:space="preserve">ordre des soumissions par les régions ou les groupes électoraux. Dans la mesure où la Convention du patrimoine mondial de 1972 suit </w:t>
      </w:r>
      <w:r w:rsidR="00485AE3">
        <w:t>un</w:t>
      </w:r>
      <w:r>
        <w:t xml:space="preserve"> mécanisme </w:t>
      </w:r>
      <w:r w:rsidR="00485AE3">
        <w:t xml:space="preserve">similaire </w:t>
      </w:r>
      <w:r>
        <w:t>de soumission des rapports, il serait bon d</w:t>
      </w:r>
      <w:r w:rsidR="00C60B26">
        <w:t>’</w:t>
      </w:r>
      <w:r>
        <w:t>éviter qu</w:t>
      </w:r>
      <w:r w:rsidR="00C60B26">
        <w:t>’</w:t>
      </w:r>
      <w:r>
        <w:t>une région ou un groupe électoral donné soumette son rapport aux deux Conventions en même temps. L</w:t>
      </w:r>
      <w:r w:rsidR="00C60B26">
        <w:t>’</w:t>
      </w:r>
      <w:r>
        <w:t>idéal serait d</w:t>
      </w:r>
      <w:r w:rsidR="00C60B26">
        <w:t>’</w:t>
      </w:r>
      <w:r>
        <w:t xml:space="preserve">espacer de deux ou trois ans la soumission des rapports pour chacune des Conventions afin de ne pas surcharger les États parties aux deux Conventions, avec des contraintes importantes de temps et de ressources, dans le cadre de leurs obligations en matière de rapport. En partant des deux options proposées ci-avant, les </w:t>
      </w:r>
      <w:r w:rsidR="00485AE3">
        <w:t xml:space="preserve">deux </w:t>
      </w:r>
      <w:r>
        <w:t>séquences de rotation pourraient être les suivantes :</w:t>
      </w:r>
    </w:p>
    <w:p w14:paraId="6AC447EF" w14:textId="0861D0D5" w:rsidR="007F6E51" w:rsidRPr="00486594" w:rsidRDefault="0008597B" w:rsidP="007316E4">
      <w:pPr>
        <w:pStyle w:val="COMPara"/>
        <w:numPr>
          <w:ilvl w:val="0"/>
          <w:numId w:val="0"/>
        </w:numPr>
        <w:spacing w:before="240"/>
        <w:ind w:left="567"/>
        <w:rPr>
          <w:b/>
        </w:rPr>
      </w:pPr>
      <w:r>
        <w:rPr>
          <w:b/>
        </w:rPr>
        <w:t>Option I</w:t>
      </w:r>
    </w:p>
    <w:p w14:paraId="07089523" w14:textId="6C9761D1" w:rsidR="00486594" w:rsidRDefault="00486594" w:rsidP="00735F2C">
      <w:pPr>
        <w:pStyle w:val="COMPara"/>
        <w:numPr>
          <w:ilvl w:val="0"/>
          <w:numId w:val="21"/>
        </w:numPr>
        <w:spacing w:before="120"/>
        <w:ind w:left="1134" w:hanging="567"/>
        <w:jc w:val="both"/>
      </w:pPr>
      <w:r>
        <w:t>2020 : Groupe électoral III (Amérique latine et Caraïbes)</w:t>
      </w:r>
    </w:p>
    <w:p w14:paraId="6F4E162F" w14:textId="12288B35" w:rsidR="00486594" w:rsidRDefault="00486594" w:rsidP="00735F2C">
      <w:pPr>
        <w:pStyle w:val="COMPara"/>
        <w:numPr>
          <w:ilvl w:val="0"/>
          <w:numId w:val="21"/>
        </w:numPr>
        <w:spacing w:before="120"/>
        <w:ind w:left="1134" w:hanging="567"/>
        <w:jc w:val="both"/>
      </w:pPr>
      <w:r>
        <w:t>2021 : Groupe électoral I (Amérique du Nord et Europe de l</w:t>
      </w:r>
      <w:r w:rsidR="00C60B26">
        <w:t>’</w:t>
      </w:r>
      <w:r>
        <w:t>Ouest)</w:t>
      </w:r>
    </w:p>
    <w:p w14:paraId="21B60B4D" w14:textId="255748AE" w:rsidR="00486594" w:rsidRDefault="00486594" w:rsidP="00735F2C">
      <w:pPr>
        <w:pStyle w:val="COMPara"/>
        <w:numPr>
          <w:ilvl w:val="0"/>
          <w:numId w:val="21"/>
        </w:numPr>
        <w:spacing w:before="120"/>
        <w:ind w:left="1134" w:hanging="567"/>
        <w:jc w:val="both"/>
      </w:pPr>
      <w:r>
        <w:t>2022 : Groupe électoral V(b) (États arabes)</w:t>
      </w:r>
    </w:p>
    <w:p w14:paraId="5FDC571F" w14:textId="42AB5E65" w:rsidR="00486594" w:rsidRDefault="00486594" w:rsidP="00735F2C">
      <w:pPr>
        <w:pStyle w:val="COMPara"/>
        <w:numPr>
          <w:ilvl w:val="0"/>
          <w:numId w:val="21"/>
        </w:numPr>
        <w:spacing w:before="120"/>
        <w:ind w:left="1134" w:hanging="567"/>
        <w:jc w:val="both"/>
      </w:pPr>
      <w:r>
        <w:t>2023 : Groupe électoral V(a) (Afrique)</w:t>
      </w:r>
    </w:p>
    <w:p w14:paraId="23072B69" w14:textId="11DC703F" w:rsidR="00486594" w:rsidRDefault="00486594" w:rsidP="00735F2C">
      <w:pPr>
        <w:pStyle w:val="COMPara"/>
        <w:numPr>
          <w:ilvl w:val="0"/>
          <w:numId w:val="21"/>
        </w:numPr>
        <w:spacing w:before="120"/>
        <w:ind w:left="1134" w:hanging="567"/>
        <w:jc w:val="both"/>
      </w:pPr>
      <w:r>
        <w:t>2024 : Groupe électoral IV (Asie et Pacifique)</w:t>
      </w:r>
    </w:p>
    <w:p w14:paraId="119CCA09" w14:textId="69DBB2ED" w:rsidR="0018130E" w:rsidRDefault="00486594" w:rsidP="00517A25">
      <w:pPr>
        <w:pStyle w:val="COMPara"/>
        <w:numPr>
          <w:ilvl w:val="0"/>
          <w:numId w:val="21"/>
        </w:numPr>
        <w:spacing w:before="120"/>
        <w:ind w:left="1134" w:hanging="567"/>
        <w:jc w:val="both"/>
      </w:pPr>
      <w:r>
        <w:t>2025 : Groupe électoral II (Europe de l</w:t>
      </w:r>
      <w:r w:rsidR="00C60B26">
        <w:t>’</w:t>
      </w:r>
      <w:r>
        <w:t>Est)</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554"/>
        <w:gridCol w:w="2554"/>
      </w:tblGrid>
      <w:tr w:rsidR="00311348" w:rsidRPr="001C4C1A" w14:paraId="33F51877" w14:textId="77777777" w:rsidTr="007316E4">
        <w:trPr>
          <w:trHeight w:val="624"/>
        </w:trPr>
        <w:tc>
          <w:tcPr>
            <w:tcW w:w="3964" w:type="dxa"/>
            <w:shd w:val="clear" w:color="auto" w:fill="auto"/>
            <w:vAlign w:val="center"/>
            <w:hideMark/>
          </w:tcPr>
          <w:p w14:paraId="46FF6CF2" w14:textId="77777777" w:rsidR="00311348" w:rsidRPr="008561AD" w:rsidRDefault="00311348" w:rsidP="0018130E">
            <w:pPr>
              <w:jc w:val="center"/>
              <w:rPr>
                <w:rFonts w:ascii="Arial" w:hAnsi="Arial" w:cs="Arial"/>
                <w:b/>
                <w:sz w:val="22"/>
                <w:szCs w:val="22"/>
              </w:rPr>
            </w:pPr>
            <w:r>
              <w:rPr>
                <w:rFonts w:ascii="Arial" w:hAnsi="Arial"/>
                <w:b/>
                <w:sz w:val="22"/>
                <w:szCs w:val="22"/>
              </w:rPr>
              <w:t>Groupe électoral</w:t>
            </w:r>
          </w:p>
        </w:tc>
        <w:tc>
          <w:tcPr>
            <w:tcW w:w="2554" w:type="dxa"/>
            <w:shd w:val="clear" w:color="auto" w:fill="auto"/>
            <w:noWrap/>
            <w:vAlign w:val="center"/>
            <w:hideMark/>
          </w:tcPr>
          <w:p w14:paraId="50036A29" w14:textId="4FC2247A" w:rsidR="00311348" w:rsidRPr="008561AD" w:rsidRDefault="00311348">
            <w:pPr>
              <w:jc w:val="center"/>
              <w:rPr>
                <w:rFonts w:ascii="Arial" w:hAnsi="Arial" w:cs="Arial"/>
                <w:b/>
                <w:sz w:val="22"/>
                <w:szCs w:val="22"/>
              </w:rPr>
            </w:pPr>
            <w:r>
              <w:rPr>
                <w:rFonts w:ascii="Arial" w:hAnsi="Arial"/>
                <w:b/>
                <w:sz w:val="22"/>
                <w:szCs w:val="22"/>
              </w:rPr>
              <w:t>Année de soumission pour la Convention de 1972</w:t>
            </w:r>
          </w:p>
        </w:tc>
        <w:tc>
          <w:tcPr>
            <w:tcW w:w="2554" w:type="dxa"/>
            <w:vAlign w:val="center"/>
          </w:tcPr>
          <w:p w14:paraId="2E0C9677" w14:textId="193FDB69" w:rsidR="00311348" w:rsidRPr="008561AD" w:rsidRDefault="00311348">
            <w:pPr>
              <w:jc w:val="center"/>
              <w:rPr>
                <w:rFonts w:ascii="Arial" w:hAnsi="Arial" w:cs="Arial"/>
                <w:b/>
                <w:sz w:val="22"/>
                <w:szCs w:val="22"/>
              </w:rPr>
            </w:pPr>
            <w:r>
              <w:rPr>
                <w:rFonts w:ascii="Arial" w:hAnsi="Arial"/>
                <w:b/>
                <w:sz w:val="22"/>
                <w:szCs w:val="22"/>
              </w:rPr>
              <w:t>Année de soumission pour la Convention de 2003</w:t>
            </w:r>
          </w:p>
        </w:tc>
      </w:tr>
      <w:tr w:rsidR="00311348" w:rsidRPr="001C4C1A" w14:paraId="6D18FDEB" w14:textId="77777777" w:rsidTr="007316E4">
        <w:trPr>
          <w:trHeight w:val="369"/>
        </w:trPr>
        <w:tc>
          <w:tcPr>
            <w:tcW w:w="3964" w:type="dxa"/>
            <w:shd w:val="clear" w:color="auto" w:fill="auto"/>
            <w:vAlign w:val="center"/>
            <w:hideMark/>
          </w:tcPr>
          <w:p w14:paraId="5CB860C6" w14:textId="2D2D430E" w:rsidR="00311348" w:rsidRPr="008561AD" w:rsidRDefault="00592CEE" w:rsidP="0018130E">
            <w:pPr>
              <w:rPr>
                <w:rFonts w:ascii="Arial" w:hAnsi="Arial" w:cs="Arial"/>
                <w:sz w:val="22"/>
                <w:szCs w:val="22"/>
              </w:rPr>
            </w:pPr>
            <w:r>
              <w:rPr>
                <w:rFonts w:ascii="Arial" w:hAnsi="Arial"/>
                <w:sz w:val="22"/>
                <w:szCs w:val="22"/>
              </w:rPr>
              <w:t>V(b) : États arabes</w:t>
            </w:r>
          </w:p>
        </w:tc>
        <w:tc>
          <w:tcPr>
            <w:tcW w:w="2554" w:type="dxa"/>
            <w:shd w:val="clear" w:color="auto" w:fill="auto"/>
            <w:noWrap/>
            <w:vAlign w:val="center"/>
            <w:hideMark/>
          </w:tcPr>
          <w:p w14:paraId="28657A13" w14:textId="77777777" w:rsidR="00311348" w:rsidRPr="008561AD" w:rsidRDefault="00311348" w:rsidP="0018130E">
            <w:pPr>
              <w:jc w:val="center"/>
              <w:rPr>
                <w:rFonts w:ascii="Arial" w:hAnsi="Arial" w:cs="Arial"/>
                <w:sz w:val="22"/>
                <w:szCs w:val="22"/>
              </w:rPr>
            </w:pPr>
            <w:r>
              <w:rPr>
                <w:rFonts w:ascii="Arial" w:hAnsi="Arial"/>
                <w:sz w:val="22"/>
                <w:szCs w:val="22"/>
              </w:rPr>
              <w:t>2019</w:t>
            </w:r>
          </w:p>
        </w:tc>
        <w:tc>
          <w:tcPr>
            <w:tcW w:w="2554" w:type="dxa"/>
            <w:vAlign w:val="center"/>
          </w:tcPr>
          <w:p w14:paraId="58090531" w14:textId="77777777" w:rsidR="00311348" w:rsidRPr="008561AD" w:rsidRDefault="00311348" w:rsidP="0018130E">
            <w:pPr>
              <w:jc w:val="center"/>
              <w:rPr>
                <w:rFonts w:ascii="Arial" w:hAnsi="Arial" w:cs="Arial"/>
                <w:sz w:val="22"/>
                <w:szCs w:val="22"/>
              </w:rPr>
            </w:pPr>
            <w:r>
              <w:rPr>
                <w:rFonts w:ascii="Arial" w:hAnsi="Arial"/>
                <w:sz w:val="22"/>
                <w:szCs w:val="22"/>
              </w:rPr>
              <w:t>2022</w:t>
            </w:r>
          </w:p>
        </w:tc>
      </w:tr>
      <w:tr w:rsidR="00311348" w:rsidRPr="001C4C1A" w14:paraId="1503BC2E" w14:textId="77777777" w:rsidTr="007316E4">
        <w:trPr>
          <w:trHeight w:val="369"/>
        </w:trPr>
        <w:tc>
          <w:tcPr>
            <w:tcW w:w="3964" w:type="dxa"/>
            <w:shd w:val="clear" w:color="auto" w:fill="auto"/>
            <w:vAlign w:val="center"/>
            <w:hideMark/>
          </w:tcPr>
          <w:p w14:paraId="72D20765" w14:textId="2B2CB082" w:rsidR="00311348" w:rsidRPr="008561AD" w:rsidRDefault="00592CEE" w:rsidP="0018130E">
            <w:pPr>
              <w:rPr>
                <w:rFonts w:ascii="Arial" w:hAnsi="Arial" w:cs="Arial"/>
                <w:sz w:val="22"/>
                <w:szCs w:val="22"/>
              </w:rPr>
            </w:pPr>
            <w:r>
              <w:rPr>
                <w:rFonts w:ascii="Arial" w:hAnsi="Arial"/>
                <w:sz w:val="22"/>
                <w:szCs w:val="22"/>
              </w:rPr>
              <w:t>V(a) : Afrique</w:t>
            </w:r>
          </w:p>
        </w:tc>
        <w:tc>
          <w:tcPr>
            <w:tcW w:w="2554" w:type="dxa"/>
            <w:shd w:val="clear" w:color="auto" w:fill="auto"/>
            <w:noWrap/>
            <w:vAlign w:val="center"/>
            <w:hideMark/>
          </w:tcPr>
          <w:p w14:paraId="7E72A499" w14:textId="77777777" w:rsidR="00311348" w:rsidRPr="008561AD" w:rsidRDefault="00311348">
            <w:pPr>
              <w:jc w:val="center"/>
              <w:rPr>
                <w:rFonts w:ascii="Arial" w:hAnsi="Arial" w:cs="Arial"/>
                <w:sz w:val="22"/>
                <w:szCs w:val="22"/>
              </w:rPr>
            </w:pPr>
            <w:r>
              <w:rPr>
                <w:rFonts w:ascii="Arial" w:hAnsi="Arial"/>
                <w:sz w:val="22"/>
                <w:szCs w:val="22"/>
              </w:rPr>
              <w:t>2020</w:t>
            </w:r>
          </w:p>
        </w:tc>
        <w:tc>
          <w:tcPr>
            <w:tcW w:w="2554" w:type="dxa"/>
            <w:vAlign w:val="center"/>
          </w:tcPr>
          <w:p w14:paraId="0F218BFA" w14:textId="77777777" w:rsidR="00311348" w:rsidRPr="008561AD" w:rsidRDefault="00311348" w:rsidP="0018130E">
            <w:pPr>
              <w:jc w:val="center"/>
              <w:rPr>
                <w:rFonts w:ascii="Arial" w:hAnsi="Arial" w:cs="Arial"/>
                <w:sz w:val="22"/>
                <w:szCs w:val="22"/>
              </w:rPr>
            </w:pPr>
            <w:r>
              <w:rPr>
                <w:rFonts w:ascii="Arial" w:hAnsi="Arial"/>
                <w:sz w:val="22"/>
                <w:szCs w:val="22"/>
              </w:rPr>
              <w:t>2023</w:t>
            </w:r>
          </w:p>
        </w:tc>
      </w:tr>
      <w:tr w:rsidR="00311348" w:rsidRPr="001C4C1A" w14:paraId="37431ABC" w14:textId="77777777" w:rsidTr="007316E4">
        <w:trPr>
          <w:trHeight w:val="369"/>
        </w:trPr>
        <w:tc>
          <w:tcPr>
            <w:tcW w:w="3964" w:type="dxa"/>
            <w:shd w:val="clear" w:color="auto" w:fill="auto"/>
            <w:vAlign w:val="center"/>
            <w:hideMark/>
          </w:tcPr>
          <w:p w14:paraId="4B56F9B1" w14:textId="14A5D2FB" w:rsidR="00311348" w:rsidRPr="008561AD" w:rsidRDefault="00592CEE" w:rsidP="00D16318">
            <w:pPr>
              <w:rPr>
                <w:rFonts w:ascii="Arial" w:hAnsi="Arial" w:cs="Arial"/>
                <w:sz w:val="22"/>
                <w:szCs w:val="22"/>
              </w:rPr>
            </w:pPr>
            <w:r>
              <w:rPr>
                <w:rFonts w:ascii="Arial" w:hAnsi="Arial"/>
                <w:sz w:val="22"/>
                <w:szCs w:val="22"/>
              </w:rPr>
              <w:lastRenderedPageBreak/>
              <w:t>IV : Asie</w:t>
            </w:r>
            <w:r w:rsidR="00485AE3">
              <w:rPr>
                <w:rFonts w:ascii="Arial" w:hAnsi="Arial"/>
                <w:sz w:val="22"/>
                <w:szCs w:val="22"/>
              </w:rPr>
              <w:t xml:space="preserve"> et </w:t>
            </w:r>
            <w:r>
              <w:rPr>
                <w:rFonts w:ascii="Arial" w:hAnsi="Arial"/>
                <w:sz w:val="22"/>
                <w:szCs w:val="22"/>
              </w:rPr>
              <w:t>Pacifique</w:t>
            </w:r>
          </w:p>
        </w:tc>
        <w:tc>
          <w:tcPr>
            <w:tcW w:w="2554" w:type="dxa"/>
            <w:shd w:val="clear" w:color="auto" w:fill="auto"/>
            <w:noWrap/>
            <w:vAlign w:val="center"/>
            <w:hideMark/>
          </w:tcPr>
          <w:p w14:paraId="62B5D1FE" w14:textId="77777777" w:rsidR="00311348" w:rsidRPr="008561AD" w:rsidRDefault="00311348" w:rsidP="0018130E">
            <w:pPr>
              <w:jc w:val="center"/>
              <w:rPr>
                <w:rFonts w:ascii="Arial" w:hAnsi="Arial" w:cs="Arial"/>
                <w:sz w:val="22"/>
                <w:szCs w:val="22"/>
              </w:rPr>
            </w:pPr>
            <w:r>
              <w:rPr>
                <w:rFonts w:ascii="Arial" w:hAnsi="Arial"/>
                <w:sz w:val="22"/>
                <w:szCs w:val="22"/>
              </w:rPr>
              <w:t>2021</w:t>
            </w:r>
          </w:p>
        </w:tc>
        <w:tc>
          <w:tcPr>
            <w:tcW w:w="2554" w:type="dxa"/>
            <w:vAlign w:val="center"/>
          </w:tcPr>
          <w:p w14:paraId="7445DD2E" w14:textId="77777777" w:rsidR="00311348" w:rsidRPr="008561AD" w:rsidRDefault="00311348" w:rsidP="0018130E">
            <w:pPr>
              <w:jc w:val="center"/>
              <w:rPr>
                <w:rFonts w:ascii="Arial" w:hAnsi="Arial" w:cs="Arial"/>
                <w:sz w:val="22"/>
                <w:szCs w:val="22"/>
              </w:rPr>
            </w:pPr>
            <w:r>
              <w:rPr>
                <w:rFonts w:ascii="Arial" w:hAnsi="Arial"/>
                <w:sz w:val="22"/>
                <w:szCs w:val="22"/>
              </w:rPr>
              <w:t>2024</w:t>
            </w:r>
          </w:p>
        </w:tc>
      </w:tr>
      <w:tr w:rsidR="00311348" w:rsidRPr="001C4C1A" w14:paraId="4A5AE27A" w14:textId="77777777" w:rsidTr="007316E4">
        <w:trPr>
          <w:trHeight w:val="369"/>
        </w:trPr>
        <w:tc>
          <w:tcPr>
            <w:tcW w:w="3964" w:type="dxa"/>
            <w:shd w:val="clear" w:color="auto" w:fill="auto"/>
            <w:vAlign w:val="center"/>
            <w:hideMark/>
          </w:tcPr>
          <w:p w14:paraId="24655CDD" w14:textId="048EF06B" w:rsidR="00311348" w:rsidRPr="008561AD" w:rsidRDefault="002E3702" w:rsidP="00D16318">
            <w:pPr>
              <w:rPr>
                <w:rFonts w:ascii="Arial" w:hAnsi="Arial" w:cs="Arial"/>
                <w:sz w:val="22"/>
                <w:szCs w:val="22"/>
              </w:rPr>
            </w:pPr>
            <w:r>
              <w:rPr>
                <w:rFonts w:ascii="Arial" w:hAnsi="Arial"/>
                <w:sz w:val="22"/>
                <w:szCs w:val="22"/>
              </w:rPr>
              <w:t>III : Amérique latine et Caraïbes</w:t>
            </w:r>
          </w:p>
        </w:tc>
        <w:tc>
          <w:tcPr>
            <w:tcW w:w="2554" w:type="dxa"/>
            <w:shd w:val="clear" w:color="auto" w:fill="auto"/>
            <w:noWrap/>
            <w:vAlign w:val="center"/>
            <w:hideMark/>
          </w:tcPr>
          <w:p w14:paraId="5FA85776" w14:textId="77777777" w:rsidR="00311348" w:rsidRPr="008561AD" w:rsidRDefault="00311348" w:rsidP="0018130E">
            <w:pPr>
              <w:jc w:val="center"/>
              <w:rPr>
                <w:rFonts w:ascii="Arial" w:hAnsi="Arial" w:cs="Arial"/>
                <w:sz w:val="22"/>
                <w:szCs w:val="22"/>
              </w:rPr>
            </w:pPr>
            <w:r>
              <w:rPr>
                <w:rFonts w:ascii="Arial" w:hAnsi="Arial"/>
                <w:sz w:val="22"/>
                <w:szCs w:val="22"/>
              </w:rPr>
              <w:t>2022</w:t>
            </w:r>
          </w:p>
        </w:tc>
        <w:tc>
          <w:tcPr>
            <w:tcW w:w="2554" w:type="dxa"/>
            <w:vAlign w:val="center"/>
          </w:tcPr>
          <w:p w14:paraId="58302727" w14:textId="77777777" w:rsidR="00311348" w:rsidRPr="008561AD" w:rsidRDefault="00311348" w:rsidP="0018130E">
            <w:pPr>
              <w:jc w:val="center"/>
              <w:rPr>
                <w:rFonts w:ascii="Arial" w:hAnsi="Arial" w:cs="Arial"/>
                <w:sz w:val="22"/>
                <w:szCs w:val="22"/>
              </w:rPr>
            </w:pPr>
            <w:r>
              <w:rPr>
                <w:rFonts w:ascii="Arial" w:hAnsi="Arial"/>
                <w:sz w:val="22"/>
                <w:szCs w:val="22"/>
              </w:rPr>
              <w:t>2020</w:t>
            </w:r>
          </w:p>
        </w:tc>
      </w:tr>
      <w:tr w:rsidR="00485AE3" w:rsidRPr="001C4C1A" w14:paraId="188BF545" w14:textId="77777777" w:rsidTr="007316E4">
        <w:trPr>
          <w:trHeight w:val="369"/>
        </w:trPr>
        <w:tc>
          <w:tcPr>
            <w:tcW w:w="3964" w:type="dxa"/>
            <w:shd w:val="clear" w:color="auto" w:fill="auto"/>
            <w:vAlign w:val="center"/>
            <w:hideMark/>
          </w:tcPr>
          <w:p w14:paraId="1BAF3DF6" w14:textId="4D3911A5" w:rsidR="00485AE3" w:rsidRPr="008561AD" w:rsidRDefault="00485AE3" w:rsidP="007900F8">
            <w:pPr>
              <w:ind w:left="257" w:hanging="257"/>
              <w:rPr>
                <w:rFonts w:ascii="Arial" w:hAnsi="Arial" w:cs="Arial"/>
                <w:sz w:val="22"/>
                <w:szCs w:val="22"/>
              </w:rPr>
            </w:pPr>
            <w:r>
              <w:rPr>
                <w:rFonts w:ascii="Arial" w:hAnsi="Arial"/>
                <w:sz w:val="22"/>
                <w:szCs w:val="22"/>
              </w:rPr>
              <w:t>I : Amérique du Nord et Europe de l</w:t>
            </w:r>
            <w:r w:rsidR="00C60B26">
              <w:rPr>
                <w:rFonts w:ascii="Arial" w:hAnsi="Arial"/>
                <w:sz w:val="22"/>
                <w:szCs w:val="22"/>
              </w:rPr>
              <w:t>’</w:t>
            </w:r>
            <w:r>
              <w:rPr>
                <w:rFonts w:ascii="Arial" w:hAnsi="Arial"/>
                <w:sz w:val="22"/>
                <w:szCs w:val="22"/>
              </w:rPr>
              <w:t>Ouest</w:t>
            </w:r>
          </w:p>
        </w:tc>
        <w:tc>
          <w:tcPr>
            <w:tcW w:w="2554" w:type="dxa"/>
            <w:vMerge w:val="restart"/>
            <w:shd w:val="clear" w:color="auto" w:fill="auto"/>
            <w:noWrap/>
            <w:vAlign w:val="center"/>
            <w:hideMark/>
          </w:tcPr>
          <w:p w14:paraId="2CE8BF77" w14:textId="212D1901" w:rsidR="00485AE3" w:rsidRPr="008561AD" w:rsidRDefault="00485AE3" w:rsidP="0021631C">
            <w:pPr>
              <w:jc w:val="center"/>
              <w:rPr>
                <w:rFonts w:ascii="Arial" w:hAnsi="Arial" w:cs="Arial"/>
                <w:sz w:val="22"/>
                <w:szCs w:val="22"/>
              </w:rPr>
            </w:pPr>
            <w:r>
              <w:rPr>
                <w:rFonts w:ascii="Arial" w:hAnsi="Arial"/>
                <w:sz w:val="22"/>
                <w:szCs w:val="22"/>
              </w:rPr>
              <w:t>2023</w:t>
            </w:r>
          </w:p>
        </w:tc>
        <w:tc>
          <w:tcPr>
            <w:tcW w:w="2554" w:type="dxa"/>
            <w:vAlign w:val="center"/>
          </w:tcPr>
          <w:p w14:paraId="7805FB70" w14:textId="77777777" w:rsidR="00485AE3" w:rsidRPr="008561AD" w:rsidRDefault="00485AE3">
            <w:pPr>
              <w:jc w:val="center"/>
              <w:rPr>
                <w:rFonts w:ascii="Arial" w:hAnsi="Arial" w:cs="Arial"/>
                <w:sz w:val="22"/>
                <w:szCs w:val="22"/>
              </w:rPr>
            </w:pPr>
            <w:r>
              <w:rPr>
                <w:rFonts w:ascii="Arial" w:hAnsi="Arial"/>
                <w:sz w:val="22"/>
                <w:szCs w:val="22"/>
              </w:rPr>
              <w:t>2021</w:t>
            </w:r>
          </w:p>
        </w:tc>
      </w:tr>
      <w:tr w:rsidR="00485AE3" w:rsidRPr="001C4C1A" w14:paraId="61D8F9EC" w14:textId="77777777" w:rsidTr="007316E4">
        <w:trPr>
          <w:trHeight w:val="369"/>
        </w:trPr>
        <w:tc>
          <w:tcPr>
            <w:tcW w:w="3964" w:type="dxa"/>
            <w:shd w:val="clear" w:color="auto" w:fill="auto"/>
            <w:vAlign w:val="center"/>
          </w:tcPr>
          <w:p w14:paraId="4C4D1C07" w14:textId="7DED4B1A" w:rsidR="00485AE3" w:rsidRPr="008561AD" w:rsidRDefault="00485AE3" w:rsidP="00D16318">
            <w:pPr>
              <w:rPr>
                <w:rFonts w:ascii="Arial" w:hAnsi="Arial" w:cs="Arial"/>
                <w:sz w:val="22"/>
                <w:szCs w:val="22"/>
              </w:rPr>
            </w:pPr>
            <w:r>
              <w:rPr>
                <w:rFonts w:ascii="Arial" w:hAnsi="Arial"/>
                <w:sz w:val="22"/>
                <w:szCs w:val="22"/>
              </w:rPr>
              <w:t>II : Europe de l</w:t>
            </w:r>
            <w:r w:rsidR="00C60B26">
              <w:rPr>
                <w:rFonts w:ascii="Arial" w:hAnsi="Arial"/>
                <w:sz w:val="22"/>
                <w:szCs w:val="22"/>
              </w:rPr>
              <w:t>’</w:t>
            </w:r>
            <w:r>
              <w:rPr>
                <w:rFonts w:ascii="Arial" w:hAnsi="Arial"/>
                <w:sz w:val="22"/>
                <w:szCs w:val="22"/>
              </w:rPr>
              <w:t>Est</w:t>
            </w:r>
          </w:p>
        </w:tc>
        <w:tc>
          <w:tcPr>
            <w:tcW w:w="2554" w:type="dxa"/>
            <w:vMerge/>
            <w:shd w:val="clear" w:color="auto" w:fill="auto"/>
            <w:noWrap/>
            <w:vAlign w:val="center"/>
          </w:tcPr>
          <w:p w14:paraId="453908B7" w14:textId="32685045" w:rsidR="00485AE3" w:rsidRPr="008561AD" w:rsidRDefault="00485AE3" w:rsidP="0018130E">
            <w:pPr>
              <w:jc w:val="center"/>
              <w:rPr>
                <w:rFonts w:ascii="Arial" w:hAnsi="Arial" w:cs="Arial"/>
                <w:sz w:val="22"/>
                <w:szCs w:val="22"/>
              </w:rPr>
            </w:pPr>
          </w:p>
        </w:tc>
        <w:tc>
          <w:tcPr>
            <w:tcW w:w="2554" w:type="dxa"/>
            <w:vAlign w:val="center"/>
          </w:tcPr>
          <w:p w14:paraId="38103BF5" w14:textId="77777777" w:rsidR="00485AE3" w:rsidRPr="008561AD" w:rsidRDefault="00485AE3" w:rsidP="0018130E">
            <w:pPr>
              <w:jc w:val="center"/>
              <w:rPr>
                <w:rFonts w:ascii="Arial" w:hAnsi="Arial" w:cs="Arial"/>
                <w:sz w:val="22"/>
                <w:szCs w:val="22"/>
              </w:rPr>
            </w:pPr>
            <w:r>
              <w:rPr>
                <w:rFonts w:ascii="Arial" w:hAnsi="Arial"/>
                <w:sz w:val="22"/>
                <w:szCs w:val="22"/>
              </w:rPr>
              <w:t>2025</w:t>
            </w:r>
          </w:p>
        </w:tc>
      </w:tr>
    </w:tbl>
    <w:p w14:paraId="7085381A" w14:textId="77777777" w:rsidR="00311348" w:rsidRPr="00486594" w:rsidRDefault="00311348" w:rsidP="007316E4">
      <w:pPr>
        <w:pStyle w:val="COMPara"/>
        <w:numPr>
          <w:ilvl w:val="0"/>
          <w:numId w:val="0"/>
        </w:numPr>
        <w:spacing w:before="240"/>
        <w:ind w:left="567"/>
        <w:rPr>
          <w:b/>
        </w:rPr>
      </w:pPr>
      <w:r>
        <w:rPr>
          <w:b/>
        </w:rPr>
        <w:t>Option II</w:t>
      </w:r>
    </w:p>
    <w:p w14:paraId="41C63ACD" w14:textId="77777777" w:rsidR="00311348" w:rsidRDefault="00311348" w:rsidP="00735F2C">
      <w:pPr>
        <w:pStyle w:val="COMPara"/>
        <w:numPr>
          <w:ilvl w:val="1"/>
          <w:numId w:val="13"/>
        </w:numPr>
        <w:spacing w:before="120"/>
        <w:ind w:left="1134" w:hanging="567"/>
        <w:jc w:val="both"/>
      </w:pPr>
      <w:r>
        <w:t>2020 : Amérique latine et Caraïbes</w:t>
      </w:r>
    </w:p>
    <w:p w14:paraId="6CCA9FF7" w14:textId="77777777" w:rsidR="00311348" w:rsidRDefault="00311348" w:rsidP="00735F2C">
      <w:pPr>
        <w:pStyle w:val="COMPara"/>
        <w:numPr>
          <w:ilvl w:val="1"/>
          <w:numId w:val="13"/>
        </w:numPr>
        <w:spacing w:before="120"/>
        <w:ind w:left="1134" w:hanging="567"/>
        <w:jc w:val="both"/>
      </w:pPr>
      <w:r>
        <w:t>2021 : Europe</w:t>
      </w:r>
    </w:p>
    <w:p w14:paraId="3467AA3C" w14:textId="77777777" w:rsidR="00311348" w:rsidRDefault="00311348" w:rsidP="00735F2C">
      <w:pPr>
        <w:pStyle w:val="COMPara"/>
        <w:numPr>
          <w:ilvl w:val="1"/>
          <w:numId w:val="13"/>
        </w:numPr>
        <w:spacing w:before="120"/>
        <w:ind w:left="1134" w:hanging="567"/>
        <w:jc w:val="both"/>
      </w:pPr>
      <w:r>
        <w:t>2022 : États arabes</w:t>
      </w:r>
    </w:p>
    <w:p w14:paraId="07FAA208" w14:textId="77777777" w:rsidR="00311348" w:rsidRDefault="00311348" w:rsidP="00735F2C">
      <w:pPr>
        <w:pStyle w:val="COMPara"/>
        <w:numPr>
          <w:ilvl w:val="1"/>
          <w:numId w:val="13"/>
        </w:numPr>
        <w:spacing w:before="120"/>
        <w:ind w:left="1134" w:hanging="567"/>
        <w:jc w:val="both"/>
      </w:pPr>
      <w:r>
        <w:t>2023 : Afrique</w:t>
      </w:r>
    </w:p>
    <w:p w14:paraId="3526C567" w14:textId="77777777" w:rsidR="00311348" w:rsidRDefault="00311348" w:rsidP="00735F2C">
      <w:pPr>
        <w:pStyle w:val="COMPara"/>
        <w:numPr>
          <w:ilvl w:val="1"/>
          <w:numId w:val="13"/>
        </w:numPr>
        <w:spacing w:before="120"/>
        <w:ind w:left="1134" w:hanging="567"/>
        <w:jc w:val="both"/>
      </w:pPr>
      <w:r>
        <w:t>2024 : Asie-Pacifique</w:t>
      </w:r>
    </w:p>
    <w:p w14:paraId="2B6FD89C" w14:textId="77777777" w:rsidR="00311348" w:rsidRDefault="00311348" w:rsidP="00735F2C">
      <w:pPr>
        <w:pStyle w:val="COMPara"/>
        <w:numPr>
          <w:ilvl w:val="1"/>
          <w:numId w:val="13"/>
        </w:numPr>
        <w:spacing w:before="120"/>
        <w:ind w:left="1134" w:hanging="567"/>
        <w:jc w:val="both"/>
      </w:pPr>
      <w:r>
        <w:t>2025 : Année de réflexion</w:t>
      </w:r>
    </w:p>
    <w:tbl>
      <w:tblPr>
        <w:tblW w:w="9072" w:type="dxa"/>
        <w:tblInd w:w="567" w:type="dxa"/>
        <w:tblCellMar>
          <w:left w:w="70" w:type="dxa"/>
          <w:right w:w="70" w:type="dxa"/>
        </w:tblCellMar>
        <w:tblLook w:val="04A0" w:firstRow="1" w:lastRow="0" w:firstColumn="1" w:lastColumn="0" w:noHBand="0" w:noVBand="1"/>
      </w:tblPr>
      <w:tblGrid>
        <w:gridCol w:w="3964"/>
        <w:gridCol w:w="2552"/>
        <w:gridCol w:w="2556"/>
      </w:tblGrid>
      <w:tr w:rsidR="0018130E" w:rsidRPr="0018130E" w14:paraId="088A260F" w14:textId="77777777" w:rsidTr="007316E4">
        <w:trPr>
          <w:trHeight w:val="62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8B1A" w14:textId="77777777" w:rsidR="0018130E" w:rsidRPr="008561AD" w:rsidRDefault="00E052E8" w:rsidP="0018130E">
            <w:pPr>
              <w:jc w:val="center"/>
              <w:rPr>
                <w:rFonts w:ascii="Arial" w:hAnsi="Arial" w:cs="Arial"/>
                <w:b/>
                <w:sz w:val="22"/>
                <w:szCs w:val="22"/>
              </w:rPr>
            </w:pPr>
            <w:r>
              <w:rPr>
                <w:rFonts w:ascii="Arial" w:hAnsi="Arial"/>
                <w:b/>
                <w:sz w:val="22"/>
                <w:szCs w:val="22"/>
              </w:rPr>
              <w:t>Région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5B72A81" w14:textId="5B48EEE4" w:rsidR="0018130E" w:rsidRPr="008561AD" w:rsidRDefault="0018130E">
            <w:pPr>
              <w:jc w:val="center"/>
              <w:rPr>
                <w:rFonts w:ascii="Arial" w:hAnsi="Arial" w:cs="Arial"/>
                <w:b/>
                <w:sz w:val="22"/>
                <w:szCs w:val="22"/>
              </w:rPr>
            </w:pPr>
            <w:r>
              <w:rPr>
                <w:rFonts w:ascii="Arial" w:hAnsi="Arial"/>
                <w:b/>
                <w:sz w:val="22"/>
                <w:szCs w:val="22"/>
              </w:rPr>
              <w:t>Année de soumission pour la Convention de 1972</w:t>
            </w:r>
          </w:p>
        </w:tc>
        <w:tc>
          <w:tcPr>
            <w:tcW w:w="2556" w:type="dxa"/>
            <w:tcBorders>
              <w:top w:val="single" w:sz="4" w:space="0" w:color="auto"/>
              <w:left w:val="nil"/>
              <w:bottom w:val="single" w:sz="4" w:space="0" w:color="auto"/>
              <w:right w:val="single" w:sz="4" w:space="0" w:color="auto"/>
            </w:tcBorders>
            <w:vAlign w:val="center"/>
          </w:tcPr>
          <w:p w14:paraId="1EE66A56" w14:textId="29744977" w:rsidR="0018130E" w:rsidRPr="008561AD" w:rsidRDefault="0018130E" w:rsidP="0018130E">
            <w:pPr>
              <w:jc w:val="center"/>
              <w:rPr>
                <w:rFonts w:ascii="Arial" w:hAnsi="Arial" w:cs="Arial"/>
                <w:b/>
                <w:sz w:val="22"/>
                <w:szCs w:val="22"/>
              </w:rPr>
            </w:pPr>
            <w:r>
              <w:rPr>
                <w:rFonts w:ascii="Arial" w:hAnsi="Arial"/>
                <w:b/>
                <w:sz w:val="22"/>
                <w:szCs w:val="22"/>
              </w:rPr>
              <w:t>Année de soumission pour la Convention de 2003</w:t>
            </w:r>
          </w:p>
        </w:tc>
      </w:tr>
      <w:tr w:rsidR="0018130E" w:rsidRPr="0018130E" w14:paraId="77DA4498" w14:textId="77777777" w:rsidTr="007316E4">
        <w:trPr>
          <w:trHeight w:val="36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E2C57F" w14:textId="77777777" w:rsidR="0018130E" w:rsidRPr="008561AD" w:rsidRDefault="0018130E" w:rsidP="0018130E">
            <w:pPr>
              <w:rPr>
                <w:rFonts w:ascii="Arial" w:hAnsi="Arial" w:cs="Arial"/>
                <w:sz w:val="22"/>
                <w:szCs w:val="22"/>
              </w:rPr>
            </w:pPr>
            <w:r>
              <w:rPr>
                <w:rFonts w:ascii="Arial" w:hAnsi="Arial"/>
                <w:sz w:val="22"/>
                <w:szCs w:val="22"/>
              </w:rPr>
              <w:t>États arabes</w:t>
            </w:r>
          </w:p>
        </w:tc>
        <w:tc>
          <w:tcPr>
            <w:tcW w:w="2552" w:type="dxa"/>
            <w:tcBorders>
              <w:top w:val="nil"/>
              <w:left w:val="nil"/>
              <w:bottom w:val="single" w:sz="4" w:space="0" w:color="auto"/>
              <w:right w:val="single" w:sz="4" w:space="0" w:color="auto"/>
            </w:tcBorders>
            <w:shd w:val="clear" w:color="auto" w:fill="auto"/>
            <w:noWrap/>
            <w:vAlign w:val="center"/>
            <w:hideMark/>
          </w:tcPr>
          <w:p w14:paraId="34BF6DE2" w14:textId="77777777" w:rsidR="0018130E" w:rsidRPr="008561AD" w:rsidRDefault="0018130E" w:rsidP="0018130E">
            <w:pPr>
              <w:jc w:val="center"/>
              <w:rPr>
                <w:rFonts w:ascii="Arial" w:hAnsi="Arial" w:cs="Arial"/>
                <w:sz w:val="22"/>
                <w:szCs w:val="22"/>
              </w:rPr>
            </w:pPr>
            <w:r>
              <w:rPr>
                <w:rFonts w:ascii="Arial" w:hAnsi="Arial"/>
                <w:sz w:val="22"/>
                <w:szCs w:val="22"/>
              </w:rPr>
              <w:t>2019</w:t>
            </w:r>
          </w:p>
        </w:tc>
        <w:tc>
          <w:tcPr>
            <w:tcW w:w="2556" w:type="dxa"/>
            <w:tcBorders>
              <w:top w:val="nil"/>
              <w:left w:val="nil"/>
              <w:bottom w:val="single" w:sz="4" w:space="0" w:color="auto"/>
              <w:right w:val="single" w:sz="4" w:space="0" w:color="auto"/>
            </w:tcBorders>
            <w:vAlign w:val="center"/>
          </w:tcPr>
          <w:p w14:paraId="2EE73B4A" w14:textId="77777777" w:rsidR="0018130E" w:rsidRPr="008561AD" w:rsidRDefault="0018130E" w:rsidP="0018130E">
            <w:pPr>
              <w:jc w:val="center"/>
              <w:rPr>
                <w:rFonts w:ascii="Arial" w:hAnsi="Arial" w:cs="Arial"/>
                <w:sz w:val="22"/>
                <w:szCs w:val="22"/>
              </w:rPr>
            </w:pPr>
            <w:r>
              <w:rPr>
                <w:rFonts w:ascii="Arial" w:hAnsi="Arial"/>
                <w:sz w:val="22"/>
                <w:szCs w:val="22"/>
              </w:rPr>
              <w:t>2022</w:t>
            </w:r>
          </w:p>
        </w:tc>
      </w:tr>
      <w:tr w:rsidR="0018130E" w:rsidRPr="0018130E" w14:paraId="224F5829"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7CB3" w14:textId="77777777" w:rsidR="0018130E" w:rsidRPr="008561AD" w:rsidRDefault="0018130E" w:rsidP="0018130E">
            <w:pPr>
              <w:rPr>
                <w:rFonts w:ascii="Arial" w:hAnsi="Arial" w:cs="Arial"/>
                <w:sz w:val="22"/>
                <w:szCs w:val="22"/>
              </w:rPr>
            </w:pPr>
            <w:r>
              <w:rPr>
                <w:rFonts w:ascii="Arial" w:hAnsi="Arial"/>
                <w:sz w:val="22"/>
                <w:szCs w:val="22"/>
              </w:rPr>
              <w:t>Afrique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16A8DB5" w14:textId="77777777" w:rsidR="0018130E" w:rsidRPr="008561AD" w:rsidRDefault="0018130E" w:rsidP="0018130E">
            <w:pPr>
              <w:jc w:val="center"/>
              <w:rPr>
                <w:rFonts w:ascii="Arial" w:hAnsi="Arial" w:cs="Arial"/>
                <w:sz w:val="22"/>
                <w:szCs w:val="22"/>
              </w:rPr>
            </w:pPr>
            <w:r>
              <w:rPr>
                <w:rFonts w:ascii="Arial" w:hAnsi="Arial"/>
                <w:sz w:val="22"/>
                <w:szCs w:val="22"/>
              </w:rPr>
              <w:t>2020</w:t>
            </w:r>
          </w:p>
        </w:tc>
        <w:tc>
          <w:tcPr>
            <w:tcW w:w="2556" w:type="dxa"/>
            <w:tcBorders>
              <w:top w:val="single" w:sz="4" w:space="0" w:color="auto"/>
              <w:left w:val="nil"/>
              <w:bottom w:val="single" w:sz="4" w:space="0" w:color="auto"/>
              <w:right w:val="single" w:sz="4" w:space="0" w:color="auto"/>
            </w:tcBorders>
            <w:vAlign w:val="center"/>
          </w:tcPr>
          <w:p w14:paraId="2FCB38D0" w14:textId="77777777" w:rsidR="0018130E" w:rsidRPr="008561AD" w:rsidRDefault="0018130E" w:rsidP="0018130E">
            <w:pPr>
              <w:jc w:val="center"/>
              <w:rPr>
                <w:rFonts w:ascii="Arial" w:hAnsi="Arial" w:cs="Arial"/>
                <w:sz w:val="22"/>
                <w:szCs w:val="22"/>
              </w:rPr>
            </w:pPr>
            <w:r>
              <w:rPr>
                <w:rFonts w:ascii="Arial" w:hAnsi="Arial"/>
                <w:sz w:val="22"/>
                <w:szCs w:val="22"/>
              </w:rPr>
              <w:t>2023</w:t>
            </w:r>
          </w:p>
        </w:tc>
      </w:tr>
      <w:tr w:rsidR="0018130E" w:rsidRPr="0018130E" w14:paraId="4A191CF5"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D324" w14:textId="5FAD569B" w:rsidR="0018130E" w:rsidRPr="008561AD" w:rsidRDefault="004E2425" w:rsidP="0018130E">
            <w:pPr>
              <w:rPr>
                <w:rFonts w:ascii="Arial" w:hAnsi="Arial" w:cs="Arial"/>
                <w:sz w:val="22"/>
                <w:szCs w:val="22"/>
              </w:rPr>
            </w:pPr>
            <w:r>
              <w:rPr>
                <w:rFonts w:ascii="Arial" w:hAnsi="Arial"/>
                <w:sz w:val="22"/>
                <w:szCs w:val="22"/>
              </w:rPr>
              <w:t>Asie-Pacifique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9B1F965" w14:textId="77777777" w:rsidR="0018130E" w:rsidRPr="008561AD" w:rsidRDefault="0018130E" w:rsidP="0018130E">
            <w:pPr>
              <w:jc w:val="center"/>
              <w:rPr>
                <w:rFonts w:ascii="Arial" w:hAnsi="Arial" w:cs="Arial"/>
                <w:sz w:val="22"/>
                <w:szCs w:val="22"/>
              </w:rPr>
            </w:pPr>
            <w:r>
              <w:rPr>
                <w:rFonts w:ascii="Arial" w:hAnsi="Arial"/>
                <w:sz w:val="22"/>
                <w:szCs w:val="22"/>
              </w:rPr>
              <w:t>2021</w:t>
            </w:r>
          </w:p>
        </w:tc>
        <w:tc>
          <w:tcPr>
            <w:tcW w:w="2556" w:type="dxa"/>
            <w:tcBorders>
              <w:top w:val="single" w:sz="4" w:space="0" w:color="auto"/>
              <w:left w:val="nil"/>
              <w:bottom w:val="single" w:sz="4" w:space="0" w:color="auto"/>
              <w:right w:val="single" w:sz="4" w:space="0" w:color="auto"/>
            </w:tcBorders>
            <w:vAlign w:val="center"/>
          </w:tcPr>
          <w:p w14:paraId="6BB9986A" w14:textId="77777777" w:rsidR="0018130E" w:rsidRPr="008561AD" w:rsidRDefault="0018130E" w:rsidP="0018130E">
            <w:pPr>
              <w:jc w:val="center"/>
              <w:rPr>
                <w:rFonts w:ascii="Arial" w:hAnsi="Arial" w:cs="Arial"/>
                <w:sz w:val="22"/>
                <w:szCs w:val="22"/>
              </w:rPr>
            </w:pPr>
            <w:r>
              <w:rPr>
                <w:rFonts w:ascii="Arial" w:hAnsi="Arial"/>
                <w:sz w:val="22"/>
                <w:szCs w:val="22"/>
              </w:rPr>
              <w:t>2024</w:t>
            </w:r>
          </w:p>
        </w:tc>
      </w:tr>
      <w:tr w:rsidR="0018130E" w:rsidRPr="0018130E" w14:paraId="4477E4A2"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8C5FC" w14:textId="60B724C1" w:rsidR="0018130E" w:rsidRPr="008561AD" w:rsidRDefault="004E2425" w:rsidP="0018130E">
            <w:pPr>
              <w:rPr>
                <w:rFonts w:ascii="Arial" w:hAnsi="Arial" w:cs="Arial"/>
                <w:sz w:val="22"/>
                <w:szCs w:val="22"/>
              </w:rPr>
            </w:pPr>
            <w:r>
              <w:rPr>
                <w:rFonts w:ascii="Arial" w:hAnsi="Arial"/>
                <w:sz w:val="22"/>
                <w:szCs w:val="22"/>
              </w:rPr>
              <w:t>Amérique latine et Caraïbes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4502C5C" w14:textId="77777777" w:rsidR="0018130E" w:rsidRPr="008561AD" w:rsidRDefault="0018130E" w:rsidP="0018130E">
            <w:pPr>
              <w:jc w:val="center"/>
              <w:rPr>
                <w:rFonts w:ascii="Arial" w:hAnsi="Arial" w:cs="Arial"/>
                <w:sz w:val="22"/>
                <w:szCs w:val="22"/>
              </w:rPr>
            </w:pPr>
            <w:r>
              <w:rPr>
                <w:rFonts w:ascii="Arial" w:hAnsi="Arial"/>
                <w:sz w:val="22"/>
                <w:szCs w:val="22"/>
              </w:rPr>
              <w:t>2022</w:t>
            </w:r>
          </w:p>
        </w:tc>
        <w:tc>
          <w:tcPr>
            <w:tcW w:w="2556" w:type="dxa"/>
            <w:tcBorders>
              <w:top w:val="single" w:sz="4" w:space="0" w:color="auto"/>
              <w:left w:val="nil"/>
              <w:bottom w:val="single" w:sz="4" w:space="0" w:color="auto"/>
              <w:right w:val="single" w:sz="4" w:space="0" w:color="auto"/>
            </w:tcBorders>
            <w:vAlign w:val="center"/>
          </w:tcPr>
          <w:p w14:paraId="42C2C121" w14:textId="77777777" w:rsidR="0018130E" w:rsidRPr="008561AD" w:rsidRDefault="0018130E" w:rsidP="0018130E">
            <w:pPr>
              <w:jc w:val="center"/>
              <w:rPr>
                <w:rFonts w:ascii="Arial" w:hAnsi="Arial" w:cs="Arial"/>
                <w:sz w:val="22"/>
                <w:szCs w:val="22"/>
              </w:rPr>
            </w:pPr>
            <w:r>
              <w:rPr>
                <w:rFonts w:ascii="Arial" w:hAnsi="Arial"/>
                <w:sz w:val="22"/>
                <w:szCs w:val="22"/>
              </w:rPr>
              <w:t>2020</w:t>
            </w:r>
          </w:p>
        </w:tc>
      </w:tr>
      <w:tr w:rsidR="0018130E" w:rsidRPr="0018130E" w14:paraId="3637931D"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E5EE" w14:textId="31C536E1" w:rsidR="0018130E" w:rsidRPr="008561AD" w:rsidRDefault="004E2425" w:rsidP="0018130E">
            <w:pPr>
              <w:rPr>
                <w:rFonts w:ascii="Arial" w:hAnsi="Arial" w:cs="Arial"/>
                <w:sz w:val="22"/>
                <w:szCs w:val="22"/>
              </w:rPr>
            </w:pPr>
            <w:r>
              <w:rPr>
                <w:rFonts w:ascii="Arial" w:hAnsi="Arial"/>
                <w:sz w:val="22"/>
                <w:szCs w:val="22"/>
              </w:rPr>
              <w:t>Europe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9A3B573" w14:textId="77777777" w:rsidR="0018130E" w:rsidRPr="008561AD" w:rsidRDefault="0018130E" w:rsidP="0018130E">
            <w:pPr>
              <w:jc w:val="center"/>
              <w:rPr>
                <w:rFonts w:ascii="Arial" w:hAnsi="Arial" w:cs="Arial"/>
                <w:sz w:val="22"/>
                <w:szCs w:val="22"/>
              </w:rPr>
            </w:pPr>
            <w:r>
              <w:rPr>
                <w:rFonts w:ascii="Arial" w:hAnsi="Arial"/>
                <w:sz w:val="22"/>
                <w:szCs w:val="22"/>
              </w:rPr>
              <w:t>2023</w:t>
            </w:r>
          </w:p>
        </w:tc>
        <w:tc>
          <w:tcPr>
            <w:tcW w:w="2556" w:type="dxa"/>
            <w:tcBorders>
              <w:top w:val="single" w:sz="4" w:space="0" w:color="auto"/>
              <w:left w:val="nil"/>
              <w:bottom w:val="single" w:sz="4" w:space="0" w:color="auto"/>
              <w:right w:val="single" w:sz="4" w:space="0" w:color="auto"/>
            </w:tcBorders>
            <w:vAlign w:val="center"/>
          </w:tcPr>
          <w:p w14:paraId="7874DC62" w14:textId="77777777" w:rsidR="0018130E" w:rsidRPr="008561AD" w:rsidRDefault="0018130E" w:rsidP="0018130E">
            <w:pPr>
              <w:jc w:val="center"/>
              <w:rPr>
                <w:rFonts w:ascii="Arial" w:hAnsi="Arial" w:cs="Arial"/>
                <w:sz w:val="22"/>
                <w:szCs w:val="22"/>
              </w:rPr>
            </w:pPr>
            <w:r>
              <w:rPr>
                <w:rFonts w:ascii="Arial" w:hAnsi="Arial"/>
                <w:sz w:val="22"/>
                <w:szCs w:val="22"/>
              </w:rPr>
              <w:t>2021</w:t>
            </w:r>
          </w:p>
        </w:tc>
      </w:tr>
      <w:tr w:rsidR="0018130E" w:rsidRPr="0018130E" w14:paraId="76951D46"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D138E97" w14:textId="77777777" w:rsidR="0018130E" w:rsidRPr="008561AD" w:rsidRDefault="0018130E" w:rsidP="0018130E">
            <w:pPr>
              <w:rPr>
                <w:rFonts w:ascii="Arial" w:hAnsi="Arial" w:cs="Arial"/>
                <w:i/>
                <w:sz w:val="22"/>
                <w:szCs w:val="22"/>
              </w:rPr>
            </w:pPr>
            <w:r>
              <w:rPr>
                <w:rFonts w:ascii="Arial" w:hAnsi="Arial"/>
                <w:i/>
                <w:sz w:val="22"/>
                <w:szCs w:val="22"/>
              </w:rPr>
              <w:t>Année de réflexion</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251DC2C" w14:textId="77777777" w:rsidR="0018130E" w:rsidRPr="008561AD" w:rsidRDefault="0018130E" w:rsidP="0018130E">
            <w:pPr>
              <w:jc w:val="center"/>
              <w:rPr>
                <w:rFonts w:ascii="Arial" w:hAnsi="Arial" w:cs="Arial"/>
                <w:sz w:val="22"/>
                <w:szCs w:val="22"/>
              </w:rPr>
            </w:pPr>
            <w:r>
              <w:rPr>
                <w:rFonts w:ascii="Arial" w:hAnsi="Arial"/>
                <w:sz w:val="22"/>
                <w:szCs w:val="22"/>
              </w:rPr>
              <w:t>2024</w:t>
            </w:r>
          </w:p>
        </w:tc>
        <w:tc>
          <w:tcPr>
            <w:tcW w:w="2556" w:type="dxa"/>
            <w:tcBorders>
              <w:top w:val="single" w:sz="4" w:space="0" w:color="auto"/>
              <w:left w:val="nil"/>
              <w:bottom w:val="single" w:sz="4" w:space="0" w:color="auto"/>
              <w:right w:val="single" w:sz="4" w:space="0" w:color="auto"/>
            </w:tcBorders>
            <w:vAlign w:val="center"/>
          </w:tcPr>
          <w:p w14:paraId="597848FE" w14:textId="77777777" w:rsidR="0018130E" w:rsidRPr="008561AD" w:rsidRDefault="0018130E" w:rsidP="0018130E">
            <w:pPr>
              <w:jc w:val="center"/>
              <w:rPr>
                <w:rFonts w:ascii="Arial" w:hAnsi="Arial" w:cs="Arial"/>
                <w:sz w:val="22"/>
                <w:szCs w:val="22"/>
              </w:rPr>
            </w:pPr>
            <w:r>
              <w:rPr>
                <w:rFonts w:ascii="Arial" w:hAnsi="Arial"/>
                <w:sz w:val="22"/>
                <w:szCs w:val="22"/>
              </w:rPr>
              <w:t>2025</w:t>
            </w:r>
          </w:p>
        </w:tc>
      </w:tr>
    </w:tbl>
    <w:p w14:paraId="5291CC40" w14:textId="16BC04FE" w:rsidR="00392958" w:rsidRDefault="00FA238A" w:rsidP="007900F8">
      <w:pPr>
        <w:pStyle w:val="COMPara"/>
        <w:numPr>
          <w:ilvl w:val="0"/>
          <w:numId w:val="13"/>
        </w:numPr>
        <w:spacing w:before="240"/>
        <w:ind w:left="567" w:hanging="567"/>
        <w:jc w:val="both"/>
      </w:pPr>
      <w:r>
        <w:t>Quelle que soit l</w:t>
      </w:r>
      <w:r w:rsidR="00C60B26">
        <w:t>’</w:t>
      </w:r>
      <w:r>
        <w:t>option retenue par le Comité, les États qui ont récemment ratifié ou ratifieront la Convention au cours de la période de transition feront l</w:t>
      </w:r>
      <w:r w:rsidR="00C60B26">
        <w:t>’</w:t>
      </w:r>
      <w:r>
        <w:t>objet d</w:t>
      </w:r>
      <w:r w:rsidR="00C60B26">
        <w:t>’</w:t>
      </w:r>
      <w:r>
        <w:t>une attention particulière au niveau du délai entre la ratification et le premier rapport attendu. D</w:t>
      </w:r>
      <w:r w:rsidR="00C60B26">
        <w:t>’</w:t>
      </w:r>
      <w:r>
        <w:t>après l</w:t>
      </w:r>
      <w:r w:rsidR="00C60B26">
        <w:t>’</w:t>
      </w:r>
      <w:r>
        <w:t>analyse du Secrétariat sur les États ayant dernièrement ratifié la Convention de 2003 ou l</w:t>
      </w:r>
      <w:r w:rsidR="00C60B26">
        <w:t>’</w:t>
      </w:r>
      <w:r>
        <w:t xml:space="preserve">ayant ratifiée à partir de 2016, les deux options ci-dessus permettent aux régions comptant le plus de nouvelles ratifications de soumettre leurs rapports plus tardivement, à savoir le Groupe V(a) </w:t>
      </w:r>
      <w:r w:rsidR="007900F8">
        <w:t>–</w:t>
      </w:r>
      <w:r>
        <w:t xml:space="preserve"> Afrique (avec quatre nouveaux États parties) en 2023 et le Groupe IV </w:t>
      </w:r>
      <w:r w:rsidR="007900F8">
        <w:t>–</w:t>
      </w:r>
      <w:r>
        <w:t xml:space="preserve"> Asie et Pacifique (avec sept nouveaux États parties) en 2024.</w:t>
      </w:r>
    </w:p>
    <w:p w14:paraId="14E91F5A" w14:textId="60320AC6" w:rsidR="00AB3D4D" w:rsidRPr="00EA528C" w:rsidRDefault="00AB3D4D" w:rsidP="00517A25">
      <w:pPr>
        <w:pStyle w:val="COMPara"/>
        <w:keepNext/>
        <w:ind w:left="567" w:hanging="567"/>
      </w:pPr>
      <w:r>
        <w:t>Le Comité souhaitera peut-être adopter l</w:t>
      </w:r>
      <w:r w:rsidR="001458A9">
        <w:t>a</w:t>
      </w:r>
      <w:r>
        <w:t xml:space="preserve"> décision suivante :</w:t>
      </w:r>
    </w:p>
    <w:p w14:paraId="3E55873F" w14:textId="27B6B543" w:rsidR="00D95C4C" w:rsidRPr="00FD624F" w:rsidRDefault="004A34A0" w:rsidP="001D14FE">
      <w:pPr>
        <w:pStyle w:val="COMTitleDecision"/>
        <w:rPr>
          <w:rFonts w:eastAsia="SimSun"/>
        </w:rPr>
      </w:pPr>
      <w:r>
        <w:t>PROJET DE DÉCISION 13.COM 8</w:t>
      </w:r>
    </w:p>
    <w:p w14:paraId="7232471D" w14:textId="77777777" w:rsidR="00D95C4C" w:rsidRPr="00285BB4" w:rsidRDefault="00285BB4" w:rsidP="00285BB4">
      <w:pPr>
        <w:pStyle w:val="COMPreambulaDecisions"/>
        <w:rPr>
          <w:rFonts w:eastAsia="SimSun"/>
        </w:rPr>
      </w:pPr>
      <w:r>
        <w:t>Le Comité,</w:t>
      </w:r>
    </w:p>
    <w:p w14:paraId="0DDF0B77" w14:textId="77777777" w:rsidR="0057439C" w:rsidRPr="00345CB4" w:rsidRDefault="00D95C4C" w:rsidP="00CB684C">
      <w:pPr>
        <w:pStyle w:val="COMParaDecision"/>
        <w:ind w:left="1134" w:hanging="567"/>
      </w:pPr>
      <w:r>
        <w:t>Ayant examiné</w:t>
      </w:r>
      <w:r>
        <w:rPr>
          <w:u w:val="none"/>
        </w:rPr>
        <w:t xml:space="preserve"> le document ITH/18/13.COM/8,</w:t>
      </w:r>
    </w:p>
    <w:p w14:paraId="40C7854F" w14:textId="77777777" w:rsidR="0057439C" w:rsidRPr="00345CB4" w:rsidRDefault="0057439C" w:rsidP="00CB684C">
      <w:pPr>
        <w:pStyle w:val="COMParaDecision"/>
        <w:ind w:left="1134" w:hanging="567"/>
      </w:pPr>
      <w:r>
        <w:t>Rappelant</w:t>
      </w:r>
      <w:r>
        <w:rPr>
          <w:u w:val="none"/>
        </w:rPr>
        <w:t xml:space="preserve"> les articles 7(f), 29 et 30 de la Convention,</w:t>
      </w:r>
    </w:p>
    <w:p w14:paraId="41520090" w14:textId="71E272C9" w:rsidR="00D95C4C" w:rsidRPr="00345CB4" w:rsidRDefault="00D95C4C" w:rsidP="007900F8">
      <w:pPr>
        <w:pStyle w:val="COMParaDecision"/>
        <w:ind w:left="1134" w:hanging="567"/>
      </w:pPr>
      <w:r>
        <w:t>Rappelant également</w:t>
      </w:r>
      <w:r>
        <w:rPr>
          <w:u w:val="none"/>
        </w:rPr>
        <w:t xml:space="preserve"> la </w:t>
      </w:r>
      <w:hyperlink r:id="rId20" w:history="1">
        <w:r>
          <w:rPr>
            <w:rStyle w:val="Hyperlink"/>
          </w:rPr>
          <w:t>décision 12.COM 10</w:t>
        </w:r>
      </w:hyperlink>
      <w:r>
        <w:rPr>
          <w:u w:val="none"/>
        </w:rPr>
        <w:t xml:space="preserve"> ainsi que la </w:t>
      </w:r>
      <w:hyperlink r:id="rId21" w:history="1">
        <w:r w:rsidR="0021631C">
          <w:rPr>
            <w:rStyle w:val="Hyperlink"/>
          </w:rPr>
          <w:t>résolution</w:t>
        </w:r>
        <w:r w:rsidR="007900F8">
          <w:rPr>
            <w:rStyle w:val="Hyperlink"/>
          </w:rPr>
          <w:t> </w:t>
        </w:r>
        <w:r w:rsidR="0021631C">
          <w:rPr>
            <w:rStyle w:val="Hyperlink"/>
          </w:rPr>
          <w:t>7.GA 10</w:t>
        </w:r>
      </w:hyperlink>
      <w:r>
        <w:rPr>
          <w:rStyle w:val="Hyperlink"/>
        </w:rPr>
        <w:t>,</w:t>
      </w:r>
    </w:p>
    <w:p w14:paraId="01EC7E7D" w14:textId="6DFE3B4F" w:rsidR="00D95C4C" w:rsidRPr="00345CB4" w:rsidRDefault="004F270D" w:rsidP="00CB684C">
      <w:pPr>
        <w:pStyle w:val="COMParaDecision"/>
        <w:ind w:left="1134" w:hanging="567"/>
      </w:pPr>
      <w:r>
        <w:t>Ayant noté</w:t>
      </w:r>
      <w:r>
        <w:rPr>
          <w:u w:val="none"/>
        </w:rPr>
        <w:t xml:space="preserve"> les débats sur la révision des Directives opérationnelles et la réforme associée de la soumission des rapports périodiques en vue de passer à un cycle régional de rapports, qui ont eu lieu à sa douzième session ainsi qu</w:t>
      </w:r>
      <w:r w:rsidR="00C60B26">
        <w:rPr>
          <w:u w:val="none"/>
        </w:rPr>
        <w:t>’</w:t>
      </w:r>
      <w:r>
        <w:rPr>
          <w:u w:val="none"/>
        </w:rPr>
        <w:t>à la septième session de l</w:t>
      </w:r>
      <w:r w:rsidR="00C60B26">
        <w:rPr>
          <w:u w:val="none"/>
        </w:rPr>
        <w:t>’</w:t>
      </w:r>
      <w:r>
        <w:rPr>
          <w:u w:val="none"/>
        </w:rPr>
        <w:t>Assemblée générale,</w:t>
      </w:r>
    </w:p>
    <w:p w14:paraId="68BD43A5" w14:textId="0CEF52DA" w:rsidR="003325C0" w:rsidRPr="008561AD" w:rsidRDefault="003325C0" w:rsidP="00CB684C">
      <w:pPr>
        <w:pStyle w:val="COMParaDecision"/>
        <w:ind w:left="1134" w:hanging="567"/>
      </w:pPr>
      <w:r>
        <w:t>Se félicite</w:t>
      </w:r>
      <w:r>
        <w:rPr>
          <w:u w:val="none"/>
        </w:rPr>
        <w:t xml:space="preserve"> des progrès accomplis dans la réforme du mécanisme de soumission des rapports périodiques ;</w:t>
      </w:r>
    </w:p>
    <w:p w14:paraId="02FB3D92" w14:textId="68085527" w:rsidR="003325C0" w:rsidRDefault="009C3A19" w:rsidP="00CB684C">
      <w:pPr>
        <w:pStyle w:val="COMParaDecision"/>
        <w:ind w:left="1134" w:hanging="567"/>
      </w:pPr>
      <w:r>
        <w:lastRenderedPageBreak/>
        <w:t>Exprime sa gratitude</w:t>
      </w:r>
      <w:r>
        <w:rPr>
          <w:u w:val="none"/>
        </w:rPr>
        <w:t xml:space="preserve"> au gouvernement de la République de Corée pour sa contribution à la réforme du mécanisme de soumission des rapports périodiques ;</w:t>
      </w:r>
    </w:p>
    <w:p w14:paraId="7B75CC46" w14:textId="4E1C8652" w:rsidR="00AC2C37" w:rsidRPr="003325C0" w:rsidRDefault="00AC2C37" w:rsidP="00CB684C">
      <w:pPr>
        <w:pStyle w:val="COMParaDecision"/>
        <w:ind w:left="1134" w:hanging="567"/>
      </w:pPr>
      <w:r>
        <w:t>Demande</w:t>
      </w:r>
      <w:r>
        <w:rPr>
          <w:u w:val="none"/>
        </w:rPr>
        <w:t xml:space="preserve"> au Secrétariat d</w:t>
      </w:r>
      <w:r w:rsidR="00C60B26">
        <w:rPr>
          <w:u w:val="none"/>
        </w:rPr>
        <w:t>’</w:t>
      </w:r>
      <w:r>
        <w:rPr>
          <w:u w:val="none"/>
        </w:rPr>
        <w:t>informer le Comité sur la réforme du mécanisme de soumission des rapports périodiques, à l</w:t>
      </w:r>
      <w:r w:rsidR="00C60B26">
        <w:rPr>
          <w:u w:val="none"/>
        </w:rPr>
        <w:t>’</w:t>
      </w:r>
      <w:r>
        <w:rPr>
          <w:u w:val="none"/>
        </w:rPr>
        <w:t>occasion de sa quatorzième session ;</w:t>
      </w:r>
    </w:p>
    <w:p w14:paraId="07DC60FB" w14:textId="0BD47EC7" w:rsidR="00D908D3" w:rsidRPr="00CB684C" w:rsidRDefault="00627E3F" w:rsidP="00200B08">
      <w:pPr>
        <w:pStyle w:val="COMParaDecision"/>
        <w:ind w:left="1134" w:hanging="567"/>
        <w:rPr>
          <w:u w:val="none"/>
        </w:rPr>
      </w:pPr>
      <w:r>
        <w:rPr>
          <w:b/>
          <w:u w:val="none"/>
        </w:rPr>
        <w:t>Option I</w:t>
      </w:r>
      <w:r>
        <w:rPr>
          <w:u w:val="none"/>
        </w:rPr>
        <w:t xml:space="preserve"> : </w:t>
      </w:r>
      <w:r>
        <w:t>Décide</w:t>
      </w:r>
      <w:r>
        <w:rPr>
          <w:u w:val="none"/>
        </w:rPr>
        <w:t xml:space="preserve"> de suivre une structure régionale de rapports fondée sur les groupes électoraux définis dans le Règlement intérieur de la Conférence générale </w:t>
      </w:r>
      <w:r w:rsidR="0021631C">
        <w:rPr>
          <w:u w:val="none"/>
        </w:rPr>
        <w:t>de l</w:t>
      </w:r>
      <w:r w:rsidR="00C60B26">
        <w:rPr>
          <w:u w:val="none"/>
        </w:rPr>
        <w:t>’</w:t>
      </w:r>
      <w:r w:rsidR="0021631C">
        <w:rPr>
          <w:u w:val="none"/>
        </w:rPr>
        <w:t xml:space="preserve">UNESCO </w:t>
      </w:r>
      <w:r>
        <w:rPr>
          <w:u w:val="none"/>
        </w:rPr>
        <w:t xml:space="preserve">et de prévoir un cycle régional de six ans pour la soumission des rapports, en </w:t>
      </w:r>
      <w:r w:rsidR="0021631C">
        <w:rPr>
          <w:u w:val="none"/>
        </w:rPr>
        <w:t xml:space="preserve">ayant </w:t>
      </w:r>
      <w:r>
        <w:rPr>
          <w:u w:val="none"/>
        </w:rPr>
        <w:t>les groupes électoraux I et II sur deux années distinctes ;</w:t>
      </w:r>
    </w:p>
    <w:p w14:paraId="756DBB75" w14:textId="5AE3B053" w:rsidR="00D908D3" w:rsidRPr="00A36DFA" w:rsidRDefault="00A36DFA" w:rsidP="00CB684C">
      <w:pPr>
        <w:pStyle w:val="COMParaDecision"/>
        <w:numPr>
          <w:ilvl w:val="0"/>
          <w:numId w:val="0"/>
        </w:numPr>
        <w:ind w:left="1134"/>
      </w:pPr>
      <w:r>
        <w:rPr>
          <w:b/>
          <w:u w:val="none"/>
        </w:rPr>
        <w:t>Option II</w:t>
      </w:r>
      <w:r>
        <w:rPr>
          <w:u w:val="none"/>
        </w:rPr>
        <w:t xml:space="preserve"> : </w:t>
      </w:r>
      <w:r>
        <w:t>Décide</w:t>
      </w:r>
      <w:r>
        <w:rPr>
          <w:u w:val="none"/>
        </w:rPr>
        <w:t xml:space="preserve"> de suivre une structure de rapports </w:t>
      </w:r>
      <w:r w:rsidR="0050419F">
        <w:rPr>
          <w:u w:val="none"/>
        </w:rPr>
        <w:t xml:space="preserve">similaire à celle adoptée </w:t>
      </w:r>
      <w:r w:rsidR="00B92E11">
        <w:rPr>
          <w:u w:val="none"/>
        </w:rPr>
        <w:t xml:space="preserve">dans le cadre de la Convention de 1972 </w:t>
      </w:r>
      <w:r w:rsidR="00B92E11">
        <w:rPr>
          <w:bCs/>
          <w:u w:val="none"/>
        </w:rPr>
        <w:t xml:space="preserve">concernant la protection du patrimoine mondial, culturel et naturel </w:t>
      </w:r>
      <w:r>
        <w:rPr>
          <w:u w:val="none"/>
        </w:rPr>
        <w:t>fondée sur les régions définies au chapitre I des Textes fondamentaux de l</w:t>
      </w:r>
      <w:r w:rsidR="00C60B26">
        <w:rPr>
          <w:u w:val="none"/>
        </w:rPr>
        <w:t>’</w:t>
      </w:r>
      <w:r>
        <w:rPr>
          <w:u w:val="none"/>
        </w:rPr>
        <w:t>UNESCO, les groupes électoraux I et II étant regroupés la même année pour la région « Europe »</w:t>
      </w:r>
      <w:r w:rsidR="007900F8">
        <w:rPr>
          <w:u w:val="none"/>
        </w:rPr>
        <w:t> </w:t>
      </w:r>
      <w:r>
        <w:rPr>
          <w:u w:val="none"/>
        </w:rPr>
        <w:t>;</w:t>
      </w:r>
    </w:p>
    <w:p w14:paraId="37083F20" w14:textId="4718EBB8" w:rsidR="00D95C4C" w:rsidRPr="00BD3EE7" w:rsidRDefault="003325C0" w:rsidP="00CB684C">
      <w:pPr>
        <w:pStyle w:val="COMParaDecision"/>
        <w:ind w:left="1134" w:hanging="567"/>
        <w:rPr>
          <w:u w:val="none"/>
        </w:rPr>
      </w:pPr>
      <w:r>
        <w:t>Décide également</w:t>
      </w:r>
      <w:r>
        <w:rPr>
          <w:u w:val="none"/>
        </w:rPr>
        <w:t xml:space="preserve"> d</w:t>
      </w:r>
      <w:r w:rsidR="00C60B26">
        <w:rPr>
          <w:u w:val="none"/>
        </w:rPr>
        <w:t>’</w:t>
      </w:r>
      <w:r>
        <w:rPr>
          <w:u w:val="none"/>
        </w:rPr>
        <w:t>adopter le calendrier ci-après pour le cycle régional de soumission des rapports au titre de la Convention de 2003 :</w:t>
      </w:r>
    </w:p>
    <w:p w14:paraId="526A7A9A" w14:textId="50CCC355" w:rsidR="00A019D3" w:rsidRDefault="00A019D3" w:rsidP="007900F8">
      <w:pPr>
        <w:pStyle w:val="COMPara"/>
        <w:numPr>
          <w:ilvl w:val="1"/>
          <w:numId w:val="24"/>
        </w:numPr>
        <w:spacing w:before="120"/>
        <w:ind w:left="1701" w:hanging="567"/>
        <w:jc w:val="both"/>
      </w:pPr>
      <w:r>
        <w:t xml:space="preserve">2020 : </w:t>
      </w:r>
      <w:r w:rsidRPr="00C60B26">
        <w:rPr>
          <w:highlight w:val="yellow"/>
        </w:rPr>
        <w:t>XXX</w:t>
      </w:r>
    </w:p>
    <w:p w14:paraId="59EE46D4" w14:textId="5A6E7F66" w:rsidR="00A019D3" w:rsidRDefault="00A019D3" w:rsidP="007900F8">
      <w:pPr>
        <w:pStyle w:val="COMPara"/>
        <w:numPr>
          <w:ilvl w:val="1"/>
          <w:numId w:val="24"/>
        </w:numPr>
        <w:spacing w:before="120"/>
        <w:ind w:left="1701" w:hanging="567"/>
        <w:jc w:val="both"/>
      </w:pPr>
      <w:r>
        <w:t xml:space="preserve">2021 : </w:t>
      </w:r>
      <w:r w:rsidRPr="00C60B26">
        <w:rPr>
          <w:highlight w:val="yellow"/>
        </w:rPr>
        <w:t>XXX</w:t>
      </w:r>
    </w:p>
    <w:p w14:paraId="25200789" w14:textId="2AED558B" w:rsidR="00D908D3" w:rsidRDefault="00A019D3" w:rsidP="007900F8">
      <w:pPr>
        <w:pStyle w:val="COMPara"/>
        <w:numPr>
          <w:ilvl w:val="1"/>
          <w:numId w:val="24"/>
        </w:numPr>
        <w:spacing w:before="120"/>
        <w:ind w:left="1701" w:hanging="567"/>
        <w:jc w:val="both"/>
      </w:pPr>
      <w:r>
        <w:t xml:space="preserve">2022 : </w:t>
      </w:r>
      <w:r w:rsidRPr="00C60B26">
        <w:rPr>
          <w:highlight w:val="yellow"/>
        </w:rPr>
        <w:t>XXX</w:t>
      </w:r>
    </w:p>
    <w:p w14:paraId="6E59F595" w14:textId="7ABB2889" w:rsidR="00A019D3" w:rsidRDefault="00A019D3" w:rsidP="007900F8">
      <w:pPr>
        <w:pStyle w:val="COMPara"/>
        <w:numPr>
          <w:ilvl w:val="1"/>
          <w:numId w:val="24"/>
        </w:numPr>
        <w:spacing w:before="120"/>
        <w:ind w:left="1701" w:hanging="567"/>
        <w:jc w:val="both"/>
      </w:pPr>
      <w:r>
        <w:t xml:space="preserve">2023 : </w:t>
      </w:r>
      <w:r w:rsidRPr="00C60B26">
        <w:rPr>
          <w:highlight w:val="yellow"/>
        </w:rPr>
        <w:t>XXX</w:t>
      </w:r>
    </w:p>
    <w:p w14:paraId="0C2F557C" w14:textId="790F100B" w:rsidR="00A019D3" w:rsidRDefault="00A019D3" w:rsidP="007900F8">
      <w:pPr>
        <w:pStyle w:val="COMPara"/>
        <w:numPr>
          <w:ilvl w:val="1"/>
          <w:numId w:val="24"/>
        </w:numPr>
        <w:spacing w:before="120"/>
        <w:ind w:left="1701" w:hanging="567"/>
        <w:jc w:val="both"/>
      </w:pPr>
      <w:r>
        <w:t xml:space="preserve">2024 : </w:t>
      </w:r>
      <w:r w:rsidRPr="00C60B26">
        <w:rPr>
          <w:highlight w:val="yellow"/>
        </w:rPr>
        <w:t>XXX</w:t>
      </w:r>
    </w:p>
    <w:p w14:paraId="0EEF2F5F" w14:textId="51E77500" w:rsidR="00A019D3" w:rsidRPr="00A019D3" w:rsidRDefault="00A019D3" w:rsidP="007900F8">
      <w:pPr>
        <w:pStyle w:val="COMPara"/>
        <w:numPr>
          <w:ilvl w:val="1"/>
          <w:numId w:val="24"/>
        </w:numPr>
        <w:spacing w:before="120"/>
        <w:ind w:left="1701" w:hanging="567"/>
        <w:jc w:val="both"/>
      </w:pPr>
      <w:r>
        <w:t xml:space="preserve">2025 : </w:t>
      </w:r>
      <w:r w:rsidRPr="00C60B26">
        <w:rPr>
          <w:highlight w:val="yellow"/>
        </w:rPr>
        <w:t>XXX</w:t>
      </w:r>
    </w:p>
    <w:p w14:paraId="53B2588E" w14:textId="2187212A" w:rsidR="00C2402A" w:rsidRPr="00E3104E" w:rsidRDefault="003325C0" w:rsidP="007900F8">
      <w:pPr>
        <w:pStyle w:val="COMParaDecision"/>
        <w:ind w:left="1134" w:hanging="567"/>
        <w:rPr>
          <w:u w:val="none"/>
        </w:rPr>
      </w:pPr>
      <w:r>
        <w:t>Prend note</w:t>
      </w:r>
      <w:r w:rsidR="007900F8">
        <w:rPr>
          <w:u w:val="none"/>
        </w:rPr>
        <w:t xml:space="preserve"> que les États parties de la </w:t>
      </w:r>
      <w:r>
        <w:rPr>
          <w:u w:val="none"/>
        </w:rPr>
        <w:t xml:space="preserve">région </w:t>
      </w:r>
      <w:r w:rsidRPr="00C60B26">
        <w:rPr>
          <w:highlight w:val="yellow"/>
          <w:u w:val="none"/>
        </w:rPr>
        <w:t>XXX</w:t>
      </w:r>
      <w:r>
        <w:rPr>
          <w:u w:val="none"/>
        </w:rPr>
        <w:t xml:space="preserve">/du groupe électoral </w:t>
      </w:r>
      <w:r w:rsidRPr="00C60B26">
        <w:rPr>
          <w:highlight w:val="yellow"/>
          <w:u w:val="none"/>
        </w:rPr>
        <w:t>XXX</w:t>
      </w:r>
      <w:r>
        <w:rPr>
          <w:u w:val="none"/>
        </w:rPr>
        <w:t xml:space="preserve"> soumettront leurs rapports périodiques sur la mise en œuvre de la Convention de 2003 et sur l</w:t>
      </w:r>
      <w:r w:rsidR="00C60B26">
        <w:rPr>
          <w:u w:val="none"/>
        </w:rPr>
        <w:t>’</w:t>
      </w:r>
      <w:r>
        <w:rPr>
          <w:u w:val="none"/>
        </w:rPr>
        <w:t>état des éléments inscrits sur la Liste représentative du patrimoine culturel immatériel de l</w:t>
      </w:r>
      <w:r w:rsidR="00C60B26">
        <w:rPr>
          <w:u w:val="none"/>
        </w:rPr>
        <w:t>’</w:t>
      </w:r>
      <w:r>
        <w:rPr>
          <w:u w:val="none"/>
        </w:rPr>
        <w:t>humanité avant le 15</w:t>
      </w:r>
      <w:r w:rsidR="007900F8">
        <w:rPr>
          <w:u w:val="none"/>
        </w:rPr>
        <w:t> décembre </w:t>
      </w:r>
      <w:r>
        <w:rPr>
          <w:u w:val="none"/>
        </w:rPr>
        <w:t>2020 pour examen par le Comité à sa seizième session en 2021.</w:t>
      </w:r>
      <w:r>
        <w:rPr>
          <w:u w:val="none"/>
        </w:rPr>
        <w:br w:type="page"/>
      </w:r>
    </w:p>
    <w:p w14:paraId="7BFC2B08" w14:textId="3032F230" w:rsidR="0057439C" w:rsidRPr="00F06CEB" w:rsidRDefault="00C2402A" w:rsidP="00D77DA1">
      <w:pPr>
        <w:pStyle w:val="COMParaDecision"/>
        <w:numPr>
          <w:ilvl w:val="0"/>
          <w:numId w:val="0"/>
        </w:numPr>
        <w:jc w:val="center"/>
        <w:rPr>
          <w:b/>
        </w:rPr>
      </w:pPr>
      <w:r w:rsidRPr="00F06CEB">
        <w:rPr>
          <w:b/>
        </w:rPr>
        <w:lastRenderedPageBreak/>
        <w:t>Annexe</w:t>
      </w:r>
      <w:r w:rsidR="00D77DA1" w:rsidRPr="00F06CEB">
        <w:rPr>
          <w:b/>
        </w:rPr>
        <w:t> </w:t>
      </w:r>
      <w:r w:rsidRPr="00F06CEB">
        <w:rPr>
          <w:b/>
        </w:rPr>
        <w:t>I</w:t>
      </w:r>
    </w:p>
    <w:p w14:paraId="1AA06EDB" w14:textId="5588FF03" w:rsidR="00F27651" w:rsidRPr="00F06CEB" w:rsidRDefault="00F27651" w:rsidP="00D77DA1">
      <w:pPr>
        <w:pStyle w:val="COMParaDecision"/>
        <w:numPr>
          <w:ilvl w:val="0"/>
          <w:numId w:val="0"/>
        </w:numPr>
        <w:spacing w:before="120" w:after="240"/>
        <w:jc w:val="center"/>
        <w:rPr>
          <w:b/>
          <w:u w:val="none"/>
        </w:rPr>
      </w:pPr>
      <w:r w:rsidRPr="00F06CEB">
        <w:rPr>
          <w:b/>
          <w:u w:val="none"/>
        </w:rPr>
        <w:t>Classification des États parties à la Convention de 2003 (au 30 septembre 2018)</w:t>
      </w:r>
      <w:r w:rsidR="00D77DA1" w:rsidRPr="00F06CEB">
        <w:rPr>
          <w:b/>
          <w:u w:val="none"/>
        </w:rPr>
        <w:br/>
      </w:r>
      <w:r w:rsidRPr="00F06CEB">
        <w:rPr>
          <w:b/>
          <w:u w:val="none"/>
        </w:rPr>
        <w:t>sur la base des groupes électoraux (Appendice 2 du Règlement intérieur de la</w:t>
      </w:r>
      <w:r w:rsidR="00D77DA1" w:rsidRPr="00F06CEB">
        <w:rPr>
          <w:b/>
          <w:u w:val="none"/>
        </w:rPr>
        <w:br/>
      </w:r>
      <w:r w:rsidRPr="00F06CEB">
        <w:rPr>
          <w:b/>
          <w:u w:val="none"/>
        </w:rPr>
        <w:t>Conférence générale de l</w:t>
      </w:r>
      <w:r w:rsidR="00C60B26" w:rsidRPr="00F06CEB">
        <w:rPr>
          <w:b/>
          <w:u w:val="none"/>
        </w:rPr>
        <w:t>’</w:t>
      </w:r>
      <w:r w:rsidRPr="00F06CEB">
        <w:rPr>
          <w:b/>
          <w:u w:val="none"/>
        </w:rPr>
        <w:t>UNESCO)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461"/>
        <w:gridCol w:w="7001"/>
      </w:tblGrid>
      <w:tr w:rsidR="00F27651" w:rsidRPr="00F06CEB" w14:paraId="3EED96B7" w14:textId="77777777" w:rsidTr="007900F8">
        <w:trPr>
          <w:jc w:val="center"/>
        </w:trPr>
        <w:tc>
          <w:tcPr>
            <w:tcW w:w="844" w:type="pct"/>
            <w:tcBorders>
              <w:bottom w:val="single" w:sz="4" w:space="0" w:color="auto"/>
            </w:tcBorders>
            <w:shd w:val="clear" w:color="auto" w:fill="F3F3F3"/>
            <w:vAlign w:val="center"/>
          </w:tcPr>
          <w:p w14:paraId="6684F052" w14:textId="4FF07038" w:rsidR="00F27651" w:rsidRPr="00F06CEB" w:rsidRDefault="00314522" w:rsidP="00C60B26">
            <w:pPr>
              <w:pStyle w:val="Marge"/>
              <w:spacing w:before="240"/>
              <w:jc w:val="left"/>
              <w:rPr>
                <w:rFonts w:cs="Arial"/>
                <w:b/>
                <w:spacing w:val="-3"/>
                <w:szCs w:val="22"/>
              </w:rPr>
            </w:pPr>
            <w:r w:rsidRPr="00F06CEB">
              <w:rPr>
                <w:b/>
                <w:szCs w:val="22"/>
              </w:rPr>
              <w:t>Groupe électoral I</w:t>
            </w:r>
          </w:p>
        </w:tc>
        <w:tc>
          <w:tcPr>
            <w:tcW w:w="251" w:type="pct"/>
            <w:vAlign w:val="center"/>
          </w:tcPr>
          <w:p w14:paraId="150465D7" w14:textId="77777777" w:rsidR="00F27651" w:rsidRPr="00F06CEB" w:rsidRDefault="00F27651" w:rsidP="00517A25">
            <w:pPr>
              <w:pStyle w:val="Marge"/>
              <w:spacing w:before="60" w:after="60"/>
              <w:rPr>
                <w:szCs w:val="22"/>
              </w:rPr>
            </w:pPr>
            <w:r w:rsidRPr="00F06CEB">
              <w:rPr>
                <w:szCs w:val="22"/>
              </w:rPr>
              <w:t>22</w:t>
            </w:r>
          </w:p>
        </w:tc>
        <w:tc>
          <w:tcPr>
            <w:tcW w:w="3905" w:type="pct"/>
            <w:vAlign w:val="center"/>
          </w:tcPr>
          <w:p w14:paraId="64C399BB" w14:textId="77777777" w:rsidR="00F27651" w:rsidRPr="00F06CEB" w:rsidRDefault="00F27651" w:rsidP="00517A25">
            <w:pPr>
              <w:pStyle w:val="Marge"/>
              <w:spacing w:before="60" w:after="60"/>
              <w:rPr>
                <w:rFonts w:cs="Arial"/>
                <w:spacing w:val="-3"/>
                <w:szCs w:val="22"/>
              </w:rPr>
            </w:pPr>
            <w:r w:rsidRPr="00F06CEB">
              <w:rPr>
                <w:szCs w:val="22"/>
              </w:rPr>
              <w:t>Allemagne, Andorre, Autriche, Belgique, Chypre, Danemark, Espagne, Finlande, France, Grèce, Irlande, Islande, Italie, Luxembourg, Malte, Monaco, Norvège, Pays-Bas, Portugal, Suède, Suisse, Turquie</w:t>
            </w:r>
          </w:p>
        </w:tc>
      </w:tr>
      <w:tr w:rsidR="00F27651" w:rsidRPr="00F06CEB" w14:paraId="50896880" w14:textId="77777777" w:rsidTr="007900F8">
        <w:trPr>
          <w:jc w:val="center"/>
        </w:trPr>
        <w:tc>
          <w:tcPr>
            <w:tcW w:w="844" w:type="pct"/>
            <w:tcBorders>
              <w:top w:val="single" w:sz="4" w:space="0" w:color="auto"/>
              <w:bottom w:val="single" w:sz="4" w:space="0" w:color="auto"/>
            </w:tcBorders>
            <w:shd w:val="clear" w:color="auto" w:fill="F3F3F3"/>
            <w:vAlign w:val="center"/>
          </w:tcPr>
          <w:p w14:paraId="3BBBC704" w14:textId="754B6793" w:rsidR="00F27651" w:rsidRPr="00F06CEB" w:rsidRDefault="00314522" w:rsidP="00C60B26">
            <w:pPr>
              <w:pStyle w:val="Marge"/>
              <w:spacing w:before="240"/>
              <w:jc w:val="left"/>
              <w:rPr>
                <w:rFonts w:cs="Arial"/>
                <w:b/>
                <w:spacing w:val="-3"/>
                <w:szCs w:val="22"/>
              </w:rPr>
            </w:pPr>
            <w:r w:rsidRPr="00F06CEB">
              <w:rPr>
                <w:b/>
                <w:szCs w:val="22"/>
              </w:rPr>
              <w:t>Groupe électoral II</w:t>
            </w:r>
          </w:p>
        </w:tc>
        <w:tc>
          <w:tcPr>
            <w:tcW w:w="251" w:type="pct"/>
            <w:vAlign w:val="center"/>
          </w:tcPr>
          <w:p w14:paraId="2DCECACE" w14:textId="77777777" w:rsidR="00F27651" w:rsidRPr="00F06CEB" w:rsidRDefault="00F27651" w:rsidP="00517A25">
            <w:pPr>
              <w:pStyle w:val="Marge"/>
              <w:spacing w:before="60" w:after="60"/>
              <w:rPr>
                <w:szCs w:val="22"/>
              </w:rPr>
            </w:pPr>
            <w:r w:rsidRPr="00F06CEB">
              <w:rPr>
                <w:szCs w:val="22"/>
              </w:rPr>
              <w:t>24</w:t>
            </w:r>
          </w:p>
        </w:tc>
        <w:tc>
          <w:tcPr>
            <w:tcW w:w="3905" w:type="pct"/>
            <w:vAlign w:val="center"/>
          </w:tcPr>
          <w:p w14:paraId="71471F51" w14:textId="77777777" w:rsidR="00F27651" w:rsidRPr="00F06CEB" w:rsidRDefault="00F27651" w:rsidP="00517A25">
            <w:pPr>
              <w:pStyle w:val="Marge"/>
              <w:spacing w:before="60" w:after="60"/>
              <w:rPr>
                <w:rFonts w:cs="Arial"/>
                <w:spacing w:val="-3"/>
                <w:szCs w:val="22"/>
              </w:rPr>
            </w:pPr>
            <w:r w:rsidRPr="00F06CEB">
              <w:rPr>
                <w:szCs w:val="22"/>
              </w:rPr>
              <w:t>Albanie, Arménie, Azerbaïdjan, Bélarus, Bosnie-Herzégovine, Bulgarie, Croatie, Estonie, ex-République yougoslave de Macédoine, Géorgie, Hongrie, Lettonie, Lituanie, Monténégro, Ouzbékistan, Pologne, République de Moldova, Roumanie, Serbie, Slovaquie, Slovénie, Tadjikistan, Tchéquie, Ukraine</w:t>
            </w:r>
          </w:p>
        </w:tc>
      </w:tr>
      <w:tr w:rsidR="00F27651" w:rsidRPr="00F06CEB" w14:paraId="0B20E771" w14:textId="77777777" w:rsidTr="007900F8">
        <w:trPr>
          <w:jc w:val="center"/>
        </w:trPr>
        <w:tc>
          <w:tcPr>
            <w:tcW w:w="844" w:type="pct"/>
            <w:tcBorders>
              <w:top w:val="single" w:sz="4" w:space="0" w:color="auto"/>
              <w:bottom w:val="single" w:sz="4" w:space="0" w:color="auto"/>
            </w:tcBorders>
            <w:shd w:val="clear" w:color="auto" w:fill="F3F3F3"/>
            <w:vAlign w:val="center"/>
          </w:tcPr>
          <w:p w14:paraId="427ADCED" w14:textId="2504970C" w:rsidR="00F27651" w:rsidRPr="00F06CEB" w:rsidRDefault="00314522" w:rsidP="00C60B26">
            <w:pPr>
              <w:pStyle w:val="Marge"/>
              <w:spacing w:before="240"/>
              <w:jc w:val="left"/>
              <w:rPr>
                <w:rFonts w:cs="Arial"/>
                <w:b/>
                <w:spacing w:val="-3"/>
                <w:szCs w:val="22"/>
              </w:rPr>
            </w:pPr>
            <w:r w:rsidRPr="00F06CEB">
              <w:rPr>
                <w:b/>
                <w:szCs w:val="22"/>
              </w:rPr>
              <w:t>Groupe électoral III</w:t>
            </w:r>
          </w:p>
        </w:tc>
        <w:tc>
          <w:tcPr>
            <w:tcW w:w="251" w:type="pct"/>
            <w:vAlign w:val="center"/>
          </w:tcPr>
          <w:p w14:paraId="7E7A558C" w14:textId="77777777" w:rsidR="00F27651" w:rsidRPr="00F06CEB" w:rsidRDefault="00F27651" w:rsidP="00517A25">
            <w:pPr>
              <w:pStyle w:val="Marge"/>
              <w:spacing w:before="60" w:after="60"/>
              <w:rPr>
                <w:szCs w:val="22"/>
              </w:rPr>
            </w:pPr>
            <w:r w:rsidRPr="00F06CEB">
              <w:rPr>
                <w:szCs w:val="22"/>
              </w:rPr>
              <w:t>32</w:t>
            </w:r>
          </w:p>
        </w:tc>
        <w:tc>
          <w:tcPr>
            <w:tcW w:w="3905" w:type="pct"/>
            <w:vAlign w:val="center"/>
          </w:tcPr>
          <w:p w14:paraId="3630D9D1" w14:textId="77777777" w:rsidR="00F27651" w:rsidRPr="00F06CEB" w:rsidRDefault="00F27651" w:rsidP="00517A25">
            <w:pPr>
              <w:pStyle w:val="Marge"/>
              <w:spacing w:before="60" w:after="60"/>
              <w:rPr>
                <w:rFonts w:cs="Arial"/>
                <w:spacing w:val="-3"/>
                <w:szCs w:val="22"/>
              </w:rPr>
            </w:pPr>
            <w:r w:rsidRPr="00F06CEB">
              <w:rPr>
                <w:szCs w:val="22"/>
              </w:rPr>
              <w:t>Antigua-et-Barbuda, Argentine, Bahamas, Barbade, Belize, Bolivie (État plurinational de), Brésil, Chili, Colombie, Costa Rica, Cuba, Dominique, El Salvador, Équateur, Grenade, Guatemala, Haïti, Honduras, Jamaïque, Mexique, Nicaragua, Panama, Paraguay, Pérou, République dominicaine, Saint-Kitts-et-Nevis, Sainte-Lucie, Saint-Vincent-et-les-Grenadines, Suriname, Trinité-et-Tobago, Uruguay, Venezuela (République bolivarienne du)</w:t>
            </w:r>
          </w:p>
        </w:tc>
      </w:tr>
      <w:tr w:rsidR="00F27651" w:rsidRPr="00F06CEB" w14:paraId="17B86FFF" w14:textId="77777777" w:rsidTr="007900F8">
        <w:trPr>
          <w:jc w:val="center"/>
        </w:trPr>
        <w:tc>
          <w:tcPr>
            <w:tcW w:w="844" w:type="pct"/>
            <w:tcBorders>
              <w:top w:val="single" w:sz="4" w:space="0" w:color="auto"/>
              <w:bottom w:val="single" w:sz="4" w:space="0" w:color="auto"/>
            </w:tcBorders>
            <w:shd w:val="clear" w:color="auto" w:fill="F3F3F3"/>
            <w:vAlign w:val="center"/>
          </w:tcPr>
          <w:p w14:paraId="085B9C97" w14:textId="215913B1" w:rsidR="00F27651" w:rsidRPr="00F06CEB" w:rsidRDefault="00314522" w:rsidP="00C60B26">
            <w:pPr>
              <w:pStyle w:val="Marge"/>
              <w:spacing w:before="240"/>
              <w:jc w:val="left"/>
              <w:rPr>
                <w:rFonts w:cs="Arial"/>
                <w:b/>
                <w:spacing w:val="-3"/>
                <w:szCs w:val="22"/>
              </w:rPr>
            </w:pPr>
            <w:r w:rsidRPr="00F06CEB">
              <w:rPr>
                <w:b/>
                <w:szCs w:val="22"/>
              </w:rPr>
              <w:t>Groupe électoral IV</w:t>
            </w:r>
          </w:p>
        </w:tc>
        <w:tc>
          <w:tcPr>
            <w:tcW w:w="251" w:type="pct"/>
            <w:vAlign w:val="center"/>
          </w:tcPr>
          <w:p w14:paraId="3D930BB9" w14:textId="1EA9D0C3" w:rsidR="00F27651" w:rsidRPr="00F06CEB" w:rsidRDefault="00314522" w:rsidP="00517A25">
            <w:pPr>
              <w:pStyle w:val="Marge"/>
              <w:spacing w:before="60" w:after="60"/>
              <w:rPr>
                <w:szCs w:val="22"/>
              </w:rPr>
            </w:pPr>
            <w:r w:rsidRPr="00F06CEB">
              <w:rPr>
                <w:szCs w:val="22"/>
              </w:rPr>
              <w:t>40</w:t>
            </w:r>
          </w:p>
        </w:tc>
        <w:tc>
          <w:tcPr>
            <w:tcW w:w="3905" w:type="pct"/>
            <w:vAlign w:val="center"/>
          </w:tcPr>
          <w:p w14:paraId="4D357AE5" w14:textId="0DEBB6D9" w:rsidR="00F27651" w:rsidRPr="00F06CEB" w:rsidRDefault="00F27651" w:rsidP="00517A25">
            <w:pPr>
              <w:pStyle w:val="Marge"/>
              <w:spacing w:before="60" w:after="60"/>
              <w:rPr>
                <w:rFonts w:cs="Arial"/>
                <w:spacing w:val="-3"/>
                <w:szCs w:val="22"/>
              </w:rPr>
            </w:pPr>
            <w:r w:rsidRPr="00F06CEB">
              <w:rPr>
                <w:szCs w:val="22"/>
              </w:rPr>
              <w:t xml:space="preserve">Afghanistan, Bangladesh, Bhoutan, </w:t>
            </w:r>
            <w:proofErr w:type="spellStart"/>
            <w:r w:rsidRPr="00F06CEB">
              <w:rPr>
                <w:szCs w:val="22"/>
              </w:rPr>
              <w:t>Brunéi</w:t>
            </w:r>
            <w:proofErr w:type="spellEnd"/>
            <w:r w:rsidRPr="00F06CEB">
              <w:rPr>
                <w:szCs w:val="22"/>
              </w:rPr>
              <w:t xml:space="preserve"> Darussalam, Cambodge, Chine, Fidji, Îles Cook, Îles Marshall, Îles Salomon, Inde, Indonésie, Iran (République islamique d</w:t>
            </w:r>
            <w:r w:rsidR="00C60B26" w:rsidRPr="00F06CEB">
              <w:rPr>
                <w:szCs w:val="22"/>
              </w:rPr>
              <w:t>’</w:t>
            </w:r>
            <w:r w:rsidRPr="00F06CEB">
              <w:rPr>
                <w:szCs w:val="22"/>
              </w:rPr>
              <w:t>), Japon, Kazakhstan, Kirghizistan, Kiribati, Malaisie, Micronésie (États fédérés de), Mongolie, Myanmar, Nauru, Népal, Pakistan, Palaos, Papouasie-Nouvelle-Guinée, Philippines, République de Corée, République démocratique populaire lao, République populaire démocratique de Corée, Samoa, Singapour, Sri Lanka, Thaïlande, Timor-Leste, Tonga, Turkménistan, Tuvalu, Vanuatu, Viet Nam</w:t>
            </w:r>
          </w:p>
        </w:tc>
      </w:tr>
      <w:tr w:rsidR="00F27651" w:rsidRPr="00F06CEB" w14:paraId="1BEE3807" w14:textId="77777777" w:rsidTr="007900F8">
        <w:trPr>
          <w:jc w:val="center"/>
        </w:trPr>
        <w:tc>
          <w:tcPr>
            <w:tcW w:w="844" w:type="pct"/>
            <w:tcBorders>
              <w:top w:val="single" w:sz="4" w:space="0" w:color="auto"/>
              <w:bottom w:val="single" w:sz="4" w:space="0" w:color="auto"/>
            </w:tcBorders>
            <w:shd w:val="clear" w:color="auto" w:fill="F3F3F3"/>
            <w:vAlign w:val="center"/>
          </w:tcPr>
          <w:p w14:paraId="19AD4415" w14:textId="08516C9C" w:rsidR="00F27651" w:rsidRPr="00F06CEB" w:rsidRDefault="00D77DA1" w:rsidP="00C60B26">
            <w:pPr>
              <w:pStyle w:val="Marge"/>
              <w:spacing w:before="240"/>
              <w:jc w:val="left"/>
              <w:rPr>
                <w:rFonts w:cs="Arial"/>
                <w:b/>
                <w:spacing w:val="-3"/>
                <w:szCs w:val="22"/>
              </w:rPr>
            </w:pPr>
            <w:r w:rsidRPr="00F06CEB">
              <w:rPr>
                <w:b/>
                <w:szCs w:val="22"/>
              </w:rPr>
              <w:t>Groupe électoral </w:t>
            </w:r>
            <w:r w:rsidR="00314522" w:rsidRPr="00F06CEB">
              <w:rPr>
                <w:b/>
                <w:szCs w:val="22"/>
              </w:rPr>
              <w:t>V(a)</w:t>
            </w:r>
          </w:p>
        </w:tc>
        <w:tc>
          <w:tcPr>
            <w:tcW w:w="251" w:type="pct"/>
            <w:vAlign w:val="center"/>
          </w:tcPr>
          <w:p w14:paraId="2719A72E" w14:textId="77777777" w:rsidR="00F27651" w:rsidRPr="00F06CEB" w:rsidRDefault="00F27651" w:rsidP="00517A25">
            <w:pPr>
              <w:pStyle w:val="Marge"/>
              <w:spacing w:before="60" w:after="60"/>
              <w:rPr>
                <w:szCs w:val="22"/>
              </w:rPr>
            </w:pPr>
            <w:r w:rsidRPr="00F06CEB">
              <w:rPr>
                <w:szCs w:val="22"/>
              </w:rPr>
              <w:t>42</w:t>
            </w:r>
          </w:p>
        </w:tc>
        <w:tc>
          <w:tcPr>
            <w:tcW w:w="3905" w:type="pct"/>
            <w:vAlign w:val="center"/>
          </w:tcPr>
          <w:p w14:paraId="1E2F697A" w14:textId="6E2C0788" w:rsidR="00F27651" w:rsidRPr="00F06CEB" w:rsidRDefault="00F27651" w:rsidP="007D2CAB">
            <w:pPr>
              <w:pStyle w:val="Marge"/>
              <w:spacing w:before="60" w:after="60"/>
              <w:rPr>
                <w:rFonts w:cs="Arial"/>
                <w:spacing w:val="-3"/>
                <w:szCs w:val="22"/>
              </w:rPr>
            </w:pPr>
            <w:r w:rsidRPr="00F06CEB">
              <w:rPr>
                <w:szCs w:val="22"/>
              </w:rPr>
              <w:t>Bénin, Botswana, Burkina Faso, Burundi, Cabo Verde, Cameroun, Comores, Congo, Côte d</w:t>
            </w:r>
            <w:r w:rsidR="00C60B26" w:rsidRPr="00F06CEB">
              <w:rPr>
                <w:szCs w:val="22"/>
              </w:rPr>
              <w:t>’</w:t>
            </w:r>
            <w:r w:rsidRPr="00F06CEB">
              <w:rPr>
                <w:szCs w:val="22"/>
              </w:rPr>
              <w:t xml:space="preserve">Ivoire, Djibouti, Érythrée, </w:t>
            </w:r>
            <w:proofErr w:type="spellStart"/>
            <w:r w:rsidR="00514BA5" w:rsidRPr="00F06CEB">
              <w:rPr>
                <w:szCs w:val="22"/>
              </w:rPr>
              <w:t>Eswatini</w:t>
            </w:r>
            <w:proofErr w:type="spellEnd"/>
            <w:r w:rsidR="00514BA5" w:rsidRPr="00F06CEB">
              <w:rPr>
                <w:szCs w:val="22"/>
              </w:rPr>
              <w:t xml:space="preserve">, </w:t>
            </w:r>
            <w:r w:rsidRPr="00F06CEB">
              <w:rPr>
                <w:szCs w:val="22"/>
              </w:rPr>
              <w:t>Éthiopie, Gabon, Gambie, Ghana, Guinée, Guinée-Bissau, Guinée équatoriale, Kenya, Lesotho, Madagascar, Malawi, Mali, Maurice, Mozambique, Namibie, Niger, Nigéria, Ouganda, République centrafricaine, République démocratique du Congo, République unie de Tanzanie, Rwanda, Sao Tomé-et-Principe, Sénégal, Seychelles, Soudan du Sud, Tchad, Togo, Zambie, Zimbabwe</w:t>
            </w:r>
          </w:p>
        </w:tc>
      </w:tr>
      <w:tr w:rsidR="00F27651" w:rsidRPr="00F06CEB" w14:paraId="6333F5A2" w14:textId="77777777" w:rsidTr="007900F8">
        <w:trPr>
          <w:jc w:val="center"/>
        </w:trPr>
        <w:tc>
          <w:tcPr>
            <w:tcW w:w="844" w:type="pct"/>
            <w:tcBorders>
              <w:top w:val="single" w:sz="4" w:space="0" w:color="auto"/>
              <w:bottom w:val="single" w:sz="4" w:space="0" w:color="auto"/>
            </w:tcBorders>
            <w:shd w:val="clear" w:color="auto" w:fill="F3F3F3"/>
            <w:vAlign w:val="center"/>
          </w:tcPr>
          <w:p w14:paraId="1CE81BB1" w14:textId="5C092920" w:rsidR="00F27651" w:rsidRPr="00F06CEB" w:rsidRDefault="00D77DA1" w:rsidP="00C60B26">
            <w:pPr>
              <w:pStyle w:val="Marge"/>
              <w:spacing w:before="240"/>
              <w:jc w:val="left"/>
              <w:rPr>
                <w:rFonts w:cs="Arial"/>
                <w:b/>
                <w:spacing w:val="-3"/>
                <w:szCs w:val="22"/>
              </w:rPr>
            </w:pPr>
            <w:r w:rsidRPr="00F06CEB">
              <w:rPr>
                <w:b/>
                <w:szCs w:val="22"/>
              </w:rPr>
              <w:t>Groupe électoral </w:t>
            </w:r>
            <w:r w:rsidR="00314522" w:rsidRPr="00F06CEB">
              <w:rPr>
                <w:b/>
                <w:szCs w:val="22"/>
              </w:rPr>
              <w:t>V(b)</w:t>
            </w:r>
          </w:p>
        </w:tc>
        <w:tc>
          <w:tcPr>
            <w:tcW w:w="251" w:type="pct"/>
            <w:vAlign w:val="center"/>
          </w:tcPr>
          <w:p w14:paraId="0F7B2328" w14:textId="77777777" w:rsidR="00F27651" w:rsidRPr="00F06CEB" w:rsidRDefault="00F27651" w:rsidP="00517A25">
            <w:pPr>
              <w:pStyle w:val="Marge"/>
              <w:spacing w:before="60" w:after="60"/>
              <w:rPr>
                <w:szCs w:val="22"/>
              </w:rPr>
            </w:pPr>
            <w:r w:rsidRPr="00F06CEB">
              <w:rPr>
                <w:szCs w:val="22"/>
              </w:rPr>
              <w:t>18</w:t>
            </w:r>
          </w:p>
        </w:tc>
        <w:tc>
          <w:tcPr>
            <w:tcW w:w="3905" w:type="pct"/>
            <w:vAlign w:val="center"/>
          </w:tcPr>
          <w:p w14:paraId="02005E72" w14:textId="77777777" w:rsidR="00F27651" w:rsidRPr="00F06CEB" w:rsidRDefault="00F27651" w:rsidP="00517A25">
            <w:pPr>
              <w:pStyle w:val="Marge"/>
              <w:spacing w:before="60" w:after="60"/>
              <w:rPr>
                <w:rFonts w:cs="Arial"/>
                <w:spacing w:val="-3"/>
                <w:szCs w:val="22"/>
              </w:rPr>
            </w:pPr>
            <w:r w:rsidRPr="00F06CEB">
              <w:rPr>
                <w:szCs w:val="22"/>
              </w:rPr>
              <w:t xml:space="preserve">Algérie, Arabie saoudite, Bahreïn, Égypte, Émirats arabes unis, Iraq, Jordanie, Koweït, Liban, Maroc, Mauritanie, Oman, Palestine, </w:t>
            </w:r>
            <w:r w:rsidRPr="00F06CEB">
              <w:rPr>
                <w:rStyle w:val="apple-style-span"/>
                <w:color w:val="000000"/>
                <w:szCs w:val="22"/>
              </w:rPr>
              <w:t xml:space="preserve">Qatar, </w:t>
            </w:r>
            <w:r w:rsidRPr="00F06CEB">
              <w:rPr>
                <w:szCs w:val="22"/>
              </w:rPr>
              <w:t xml:space="preserve">République arabe syrienne, </w:t>
            </w:r>
            <w:r w:rsidRPr="00F06CEB">
              <w:rPr>
                <w:rStyle w:val="apple-style-span"/>
                <w:color w:val="000000"/>
                <w:szCs w:val="22"/>
              </w:rPr>
              <w:t xml:space="preserve">Soudan, </w:t>
            </w:r>
            <w:r w:rsidRPr="00F06CEB">
              <w:rPr>
                <w:szCs w:val="22"/>
              </w:rPr>
              <w:t>Tunisie, Yémen</w:t>
            </w:r>
          </w:p>
        </w:tc>
      </w:tr>
    </w:tbl>
    <w:p w14:paraId="7351B17E" w14:textId="77777777" w:rsidR="00F27651" w:rsidRPr="00D77DA1" w:rsidRDefault="00F27651" w:rsidP="00D77DA1">
      <w:pPr>
        <w:pStyle w:val="COMParaDecision"/>
        <w:numPr>
          <w:ilvl w:val="0"/>
          <w:numId w:val="0"/>
        </w:numPr>
        <w:rPr>
          <w:bCs/>
          <w:sz w:val="20"/>
          <w:szCs w:val="20"/>
          <w:u w:val="none"/>
        </w:rPr>
      </w:pPr>
    </w:p>
    <w:p w14:paraId="440C9301" w14:textId="529C0B9A" w:rsidR="00F27651" w:rsidRPr="00F06CEB" w:rsidRDefault="00F27651" w:rsidP="00D77DA1">
      <w:pPr>
        <w:pStyle w:val="COMParaDecision"/>
        <w:pageBreakBefore/>
        <w:numPr>
          <w:ilvl w:val="0"/>
          <w:numId w:val="0"/>
        </w:numPr>
        <w:jc w:val="center"/>
        <w:rPr>
          <w:b/>
        </w:rPr>
      </w:pPr>
      <w:r w:rsidRPr="00F06CEB">
        <w:rPr>
          <w:b/>
        </w:rPr>
        <w:lastRenderedPageBreak/>
        <w:t>Annexe II</w:t>
      </w:r>
    </w:p>
    <w:p w14:paraId="2665878E" w14:textId="34423F5B" w:rsidR="002540FF" w:rsidRPr="00F06CEB" w:rsidRDefault="00F27651" w:rsidP="00F06CEB">
      <w:pPr>
        <w:pStyle w:val="COMParaDecision"/>
        <w:numPr>
          <w:ilvl w:val="0"/>
          <w:numId w:val="0"/>
        </w:numPr>
        <w:spacing w:after="240"/>
        <w:jc w:val="center"/>
        <w:rPr>
          <w:b/>
          <w:u w:val="none"/>
        </w:rPr>
      </w:pPr>
      <w:r w:rsidRPr="00F06CEB">
        <w:rPr>
          <w:b/>
          <w:u w:val="none"/>
        </w:rPr>
        <w:t xml:space="preserve">Classification des États parties à la Convention de 2003 (au 30 septembre 2018) </w:t>
      </w:r>
      <w:r w:rsidR="00F06CEB">
        <w:rPr>
          <w:b/>
          <w:u w:val="none"/>
        </w:rPr>
        <w:br/>
      </w:r>
      <w:r w:rsidR="00D77DA1" w:rsidRPr="00F06CEB">
        <w:rPr>
          <w:b/>
          <w:u w:val="none"/>
        </w:rPr>
        <w:t xml:space="preserve">qui suit </w:t>
      </w:r>
      <w:r w:rsidR="00F54650" w:rsidRPr="00F06CEB">
        <w:rPr>
          <w:b/>
          <w:u w:val="none"/>
        </w:rPr>
        <w:t xml:space="preserve">une </w:t>
      </w:r>
      <w:r w:rsidRPr="00F06CEB">
        <w:rPr>
          <w:b/>
          <w:u w:val="none"/>
        </w:rPr>
        <w:t xml:space="preserve">structure régionale de soumission des rapports </w:t>
      </w:r>
      <w:r w:rsidR="00F54650" w:rsidRPr="00F06CEB">
        <w:rPr>
          <w:b/>
          <w:u w:val="none"/>
        </w:rPr>
        <w:t xml:space="preserve">similaire à celle </w:t>
      </w:r>
      <w:r w:rsidRPr="00F06CEB">
        <w:rPr>
          <w:b/>
          <w:u w:val="none"/>
        </w:rPr>
        <w:t>de la</w:t>
      </w:r>
      <w:r w:rsidR="00F06CEB">
        <w:rPr>
          <w:b/>
          <w:u w:val="none"/>
        </w:rPr>
        <w:t xml:space="preserve"> </w:t>
      </w:r>
      <w:r w:rsidR="00F06CEB">
        <w:rPr>
          <w:b/>
          <w:u w:val="none"/>
        </w:rPr>
        <w:br/>
      </w:r>
      <w:r w:rsidRPr="00F06CEB">
        <w:rPr>
          <w:b/>
          <w:u w:val="none"/>
        </w:rPr>
        <w:t xml:space="preserve">Convention du patrimoine mondial de 1972 </w:t>
      </w:r>
      <w:r w:rsidR="00F54650" w:rsidRPr="00F06CEB">
        <w:rPr>
          <w:b/>
          <w:u w:val="none"/>
        </w:rPr>
        <w:t xml:space="preserve">fondée </w:t>
      </w:r>
      <w:r w:rsidRPr="00F06CEB">
        <w:rPr>
          <w:b/>
          <w:u w:val="none"/>
        </w:rPr>
        <w:t xml:space="preserve">sur </w:t>
      </w:r>
      <w:r w:rsidR="00F54650" w:rsidRPr="00F06CEB">
        <w:rPr>
          <w:b/>
          <w:u w:val="none"/>
        </w:rPr>
        <w:t>les régions</w:t>
      </w:r>
      <w:r w:rsidR="00F06CEB">
        <w:rPr>
          <w:b/>
          <w:u w:val="none"/>
        </w:rPr>
        <w:t xml:space="preserve"> </w:t>
      </w:r>
      <w:r w:rsidR="00F06CEB">
        <w:rPr>
          <w:b/>
          <w:u w:val="none"/>
        </w:rPr>
        <w:br/>
      </w:r>
      <w:r w:rsidR="00F54650" w:rsidRPr="00F06CEB">
        <w:rPr>
          <w:b/>
          <w:u w:val="none"/>
        </w:rPr>
        <w:t xml:space="preserve">définies au </w:t>
      </w:r>
      <w:r w:rsidRPr="00F06CEB">
        <w:rPr>
          <w:b/>
          <w:u w:val="none"/>
        </w:rPr>
        <w:t>chapitre I des Textes fondamentaux de l</w:t>
      </w:r>
      <w:r w:rsidR="00C60B26" w:rsidRPr="00F06CEB">
        <w:rPr>
          <w:b/>
          <w:u w:val="none"/>
        </w:rPr>
        <w:t>’</w:t>
      </w:r>
      <w:r w:rsidRPr="00F06CEB">
        <w:rPr>
          <w:b/>
          <w:u w:val="none"/>
        </w:rPr>
        <w:t>UNESCO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61"/>
        <w:gridCol w:w="7083"/>
      </w:tblGrid>
      <w:tr w:rsidR="00314522" w:rsidRPr="00F06CEB" w14:paraId="28862F42" w14:textId="77777777" w:rsidTr="00D77DA1">
        <w:trPr>
          <w:jc w:val="center"/>
        </w:trPr>
        <w:tc>
          <w:tcPr>
            <w:tcW w:w="844" w:type="pct"/>
            <w:tcBorders>
              <w:bottom w:val="single" w:sz="4" w:space="0" w:color="auto"/>
            </w:tcBorders>
            <w:shd w:val="clear" w:color="auto" w:fill="F3F3F3"/>
            <w:vAlign w:val="center"/>
          </w:tcPr>
          <w:p w14:paraId="73293502" w14:textId="586B5C18" w:rsidR="00314522" w:rsidRPr="00F06CEB" w:rsidRDefault="00314522" w:rsidP="00C60B26">
            <w:pPr>
              <w:pStyle w:val="Marge"/>
              <w:spacing w:before="240"/>
              <w:jc w:val="left"/>
              <w:rPr>
                <w:rFonts w:cs="Arial"/>
                <w:b/>
                <w:spacing w:val="-3"/>
              </w:rPr>
            </w:pPr>
            <w:r w:rsidRPr="00F06CEB">
              <w:rPr>
                <w:b/>
              </w:rPr>
              <w:t>Europe</w:t>
            </w:r>
          </w:p>
        </w:tc>
        <w:tc>
          <w:tcPr>
            <w:tcW w:w="251" w:type="pct"/>
            <w:vAlign w:val="center"/>
          </w:tcPr>
          <w:p w14:paraId="0EE38C35" w14:textId="78AD5DE9" w:rsidR="00314522" w:rsidRPr="00F06CEB" w:rsidRDefault="00314522" w:rsidP="00517A25">
            <w:pPr>
              <w:pStyle w:val="Marge"/>
              <w:spacing w:before="60" w:after="60"/>
            </w:pPr>
            <w:r w:rsidRPr="00F06CEB">
              <w:t>44</w:t>
            </w:r>
          </w:p>
        </w:tc>
        <w:tc>
          <w:tcPr>
            <w:tcW w:w="3905" w:type="pct"/>
            <w:vAlign w:val="center"/>
          </w:tcPr>
          <w:p w14:paraId="4A86981B" w14:textId="711F77EE" w:rsidR="00314522" w:rsidRPr="00F06CEB" w:rsidRDefault="00314522" w:rsidP="00517A25">
            <w:pPr>
              <w:pStyle w:val="Marge"/>
              <w:spacing w:before="60" w:after="60"/>
              <w:rPr>
                <w:rFonts w:cs="Arial"/>
                <w:spacing w:val="-3"/>
              </w:rPr>
            </w:pPr>
            <w:r w:rsidRPr="00F06CEB">
              <w:t>Albanie, Allemagne, Andorre, Arménie, Autriche, Azerbaïdjan, Bélarus, Belgique, Bosnie-Herzégovine, Bulgarie, Chypre, Croatie, Danemark, Espagne, Estonie, ex-République yougoslave de Macédoine, Finlande, France, Géorgie, Grèce, Hongrie, Irlande, Islande, Italie, Lettonie, Lituanie, Luxembourg, Malte, Monaco, Monténégro, Norvège, Pays-Bas, Pologne, Portugal, République de Moldova, Roumanie, Serbie, Slovaquie, Slovénie, Suède, Suisse, Tchéquie, Turquie, Ukraine</w:t>
            </w:r>
          </w:p>
        </w:tc>
      </w:tr>
      <w:tr w:rsidR="00314522" w:rsidRPr="00F06CEB" w14:paraId="59646C50" w14:textId="77777777" w:rsidTr="00D77DA1">
        <w:trPr>
          <w:jc w:val="center"/>
        </w:trPr>
        <w:tc>
          <w:tcPr>
            <w:tcW w:w="844" w:type="pct"/>
            <w:tcBorders>
              <w:top w:val="single" w:sz="4" w:space="0" w:color="auto"/>
              <w:bottom w:val="single" w:sz="4" w:space="0" w:color="auto"/>
            </w:tcBorders>
            <w:shd w:val="clear" w:color="auto" w:fill="F3F3F3"/>
            <w:vAlign w:val="center"/>
          </w:tcPr>
          <w:p w14:paraId="21FEBAB3" w14:textId="6073C7F2" w:rsidR="00314522" w:rsidRPr="00F06CEB" w:rsidRDefault="00B73ABC" w:rsidP="00C60B26">
            <w:pPr>
              <w:pStyle w:val="Marge"/>
              <w:spacing w:before="240"/>
              <w:jc w:val="left"/>
              <w:rPr>
                <w:rFonts w:cs="Arial"/>
                <w:b/>
                <w:spacing w:val="-3"/>
              </w:rPr>
            </w:pPr>
            <w:r w:rsidRPr="00F06CEB">
              <w:rPr>
                <w:b/>
              </w:rPr>
              <w:t>Amérique latine et Caraïbes</w:t>
            </w:r>
          </w:p>
        </w:tc>
        <w:tc>
          <w:tcPr>
            <w:tcW w:w="251" w:type="pct"/>
            <w:vAlign w:val="center"/>
          </w:tcPr>
          <w:p w14:paraId="444D31C1" w14:textId="77777777" w:rsidR="00314522" w:rsidRPr="00F06CEB" w:rsidRDefault="00314522" w:rsidP="00517A25">
            <w:pPr>
              <w:pStyle w:val="Marge"/>
              <w:spacing w:before="60" w:after="60"/>
            </w:pPr>
            <w:r w:rsidRPr="00F06CEB">
              <w:t>32</w:t>
            </w:r>
          </w:p>
        </w:tc>
        <w:tc>
          <w:tcPr>
            <w:tcW w:w="3905" w:type="pct"/>
            <w:vAlign w:val="center"/>
          </w:tcPr>
          <w:p w14:paraId="607A92F3" w14:textId="77777777" w:rsidR="00314522" w:rsidRPr="00F06CEB" w:rsidRDefault="00314522" w:rsidP="00517A25">
            <w:pPr>
              <w:pStyle w:val="Marge"/>
              <w:spacing w:before="60" w:after="60"/>
              <w:rPr>
                <w:rFonts w:cs="Arial"/>
                <w:spacing w:val="-3"/>
              </w:rPr>
            </w:pPr>
            <w:r w:rsidRPr="00F06CEB">
              <w:t>Antigua-et-Barbuda, Argentine, Bahamas, Barbade, Belize, Bolivie (État plurinational de), Brésil, Chili, Colombie, Costa Rica, Cuba, Dominique, El Salvador, Équateur, Grenade, Guatemala, Haïti, Honduras, Jamaïque, Mexique, Nicaragua, Panama, Paraguay, Pérou, République dominicaine, Saint-Kitts-et-Nevis, Sainte-Lucie, Saint-Vincent-et-les-Grenadines, Suriname, Trinité-et-Tobago, Uruguay, Venezuela (République bolivarienne du)</w:t>
            </w:r>
          </w:p>
        </w:tc>
      </w:tr>
      <w:tr w:rsidR="00314522" w:rsidRPr="00F06CEB" w14:paraId="089930E6" w14:textId="77777777" w:rsidTr="00D77DA1">
        <w:trPr>
          <w:jc w:val="center"/>
        </w:trPr>
        <w:tc>
          <w:tcPr>
            <w:tcW w:w="844" w:type="pct"/>
            <w:tcBorders>
              <w:top w:val="single" w:sz="4" w:space="0" w:color="auto"/>
              <w:bottom w:val="single" w:sz="4" w:space="0" w:color="auto"/>
            </w:tcBorders>
            <w:shd w:val="clear" w:color="auto" w:fill="F3F3F3"/>
            <w:vAlign w:val="center"/>
          </w:tcPr>
          <w:p w14:paraId="7C9C1273" w14:textId="29067494" w:rsidR="00314522" w:rsidRPr="00F06CEB" w:rsidRDefault="00B73ABC" w:rsidP="00C60B26">
            <w:pPr>
              <w:pStyle w:val="Marge"/>
              <w:spacing w:before="240"/>
              <w:jc w:val="left"/>
              <w:rPr>
                <w:rFonts w:cs="Arial"/>
                <w:b/>
                <w:spacing w:val="-3"/>
              </w:rPr>
            </w:pPr>
            <w:r w:rsidRPr="00F06CEB">
              <w:rPr>
                <w:b/>
              </w:rPr>
              <w:t>Asie-Pacifique</w:t>
            </w:r>
          </w:p>
        </w:tc>
        <w:tc>
          <w:tcPr>
            <w:tcW w:w="251" w:type="pct"/>
            <w:vAlign w:val="center"/>
          </w:tcPr>
          <w:p w14:paraId="0A7CBA5F" w14:textId="3C004E99" w:rsidR="00314522" w:rsidRPr="00F06CEB" w:rsidRDefault="00314522" w:rsidP="00517A25">
            <w:pPr>
              <w:pStyle w:val="Marge"/>
              <w:spacing w:before="60" w:after="60"/>
            </w:pPr>
            <w:r w:rsidRPr="00F06CEB">
              <w:t>42</w:t>
            </w:r>
          </w:p>
        </w:tc>
        <w:tc>
          <w:tcPr>
            <w:tcW w:w="3905" w:type="pct"/>
            <w:vAlign w:val="center"/>
          </w:tcPr>
          <w:p w14:paraId="6E0673E6" w14:textId="729185FB" w:rsidR="00314522" w:rsidRPr="00F06CEB" w:rsidRDefault="00314522" w:rsidP="00517A25">
            <w:pPr>
              <w:pStyle w:val="Marge"/>
              <w:spacing w:before="60" w:after="60"/>
              <w:rPr>
                <w:rFonts w:cs="Arial"/>
                <w:spacing w:val="-3"/>
              </w:rPr>
            </w:pPr>
            <w:r w:rsidRPr="00F06CEB">
              <w:t xml:space="preserve">Afghanistan, Bangladesh, Bhoutan, </w:t>
            </w:r>
            <w:proofErr w:type="spellStart"/>
            <w:r w:rsidRPr="00F06CEB">
              <w:t>Brunéi</w:t>
            </w:r>
            <w:proofErr w:type="spellEnd"/>
            <w:r w:rsidRPr="00F06CEB">
              <w:t xml:space="preserve"> Darussalam, Cambodge, Chine, Fidji, Îles Cook, Îles Marshall, Îles Salomon, Inde, Indonésie, Iran (République islamique d</w:t>
            </w:r>
            <w:r w:rsidR="00C60B26" w:rsidRPr="00F06CEB">
              <w:t>’</w:t>
            </w:r>
            <w:r w:rsidRPr="00F06CEB">
              <w:t xml:space="preserve">), Japon, Kazakhstan, Kirghizistan, Kiribati, Malaisie, Micronésie (États fédérés de), Mongolie, Myanmar, Nauru, Népal, Ouzbékistan, Pakistan, Palaos, Papouasie-Nouvelle-Guinée, Philippines, République de Corée, République démocratique populaire lao, République populaire démocratique de Corée, Samoa, Singapour, Sri Lanka, Tadjikistan, Thaïlande, </w:t>
            </w:r>
            <w:proofErr w:type="spellStart"/>
            <w:r w:rsidRPr="00F06CEB">
              <w:t>Timor-Leste</w:t>
            </w:r>
            <w:proofErr w:type="spellEnd"/>
            <w:r w:rsidRPr="00F06CEB">
              <w:t>, Tonga, Turkménistan, Tuvalu, Vanuatu, Viet Nam</w:t>
            </w:r>
          </w:p>
        </w:tc>
      </w:tr>
      <w:tr w:rsidR="00314522" w:rsidRPr="00F06CEB" w14:paraId="735355F6" w14:textId="77777777" w:rsidTr="00D77DA1">
        <w:trPr>
          <w:jc w:val="center"/>
        </w:trPr>
        <w:tc>
          <w:tcPr>
            <w:tcW w:w="844" w:type="pct"/>
            <w:tcBorders>
              <w:top w:val="single" w:sz="4" w:space="0" w:color="auto"/>
              <w:bottom w:val="single" w:sz="4" w:space="0" w:color="auto"/>
            </w:tcBorders>
            <w:shd w:val="clear" w:color="auto" w:fill="F3F3F3"/>
            <w:vAlign w:val="center"/>
          </w:tcPr>
          <w:p w14:paraId="77F5A238" w14:textId="07E64943" w:rsidR="00314522" w:rsidRPr="00F06CEB" w:rsidRDefault="00B73ABC" w:rsidP="00C60B26">
            <w:pPr>
              <w:pStyle w:val="Marge"/>
              <w:spacing w:before="240"/>
              <w:jc w:val="left"/>
              <w:rPr>
                <w:rFonts w:cs="Arial"/>
                <w:b/>
                <w:spacing w:val="-3"/>
              </w:rPr>
            </w:pPr>
            <w:r w:rsidRPr="00F06CEB">
              <w:rPr>
                <w:b/>
              </w:rPr>
              <w:t>Afrique</w:t>
            </w:r>
          </w:p>
        </w:tc>
        <w:tc>
          <w:tcPr>
            <w:tcW w:w="251" w:type="pct"/>
            <w:vAlign w:val="center"/>
          </w:tcPr>
          <w:p w14:paraId="255D472A" w14:textId="77777777" w:rsidR="00314522" w:rsidRPr="00F06CEB" w:rsidRDefault="00314522" w:rsidP="00517A25">
            <w:pPr>
              <w:pStyle w:val="Marge"/>
              <w:spacing w:before="60" w:after="60"/>
            </w:pPr>
            <w:r w:rsidRPr="00F06CEB">
              <w:t>42</w:t>
            </w:r>
          </w:p>
        </w:tc>
        <w:tc>
          <w:tcPr>
            <w:tcW w:w="3905" w:type="pct"/>
            <w:vAlign w:val="center"/>
          </w:tcPr>
          <w:p w14:paraId="067FE3D0" w14:textId="1CC68E95" w:rsidR="00314522" w:rsidRPr="00F06CEB" w:rsidRDefault="00314522" w:rsidP="007D2CAB">
            <w:pPr>
              <w:pStyle w:val="Marge"/>
              <w:spacing w:before="60" w:after="60"/>
              <w:rPr>
                <w:rFonts w:cs="Arial"/>
                <w:spacing w:val="-3"/>
              </w:rPr>
            </w:pPr>
            <w:r w:rsidRPr="00F06CEB">
              <w:t>Bénin, Botswana, Burkina Faso, Burundi, Cabo Verde, Cameroun, Comores, Congo, Côte d</w:t>
            </w:r>
            <w:r w:rsidR="00C60B26" w:rsidRPr="00F06CEB">
              <w:t>’</w:t>
            </w:r>
            <w:r w:rsidRPr="00F06CEB">
              <w:t xml:space="preserve">Ivoire, Djibouti, Érythrée, </w:t>
            </w:r>
            <w:proofErr w:type="spellStart"/>
            <w:r w:rsidR="00514BA5" w:rsidRPr="00F06CEB">
              <w:t>Eswatini</w:t>
            </w:r>
            <w:proofErr w:type="spellEnd"/>
            <w:r w:rsidR="00514BA5" w:rsidRPr="00F06CEB">
              <w:t xml:space="preserve">, </w:t>
            </w:r>
            <w:r w:rsidRPr="00F06CEB">
              <w:t>Éthiopie, Gabon, Gambie, Ghana, Guinée, Guinée-Bissau, Guinée équatoriale, Kenya, Lesotho, Madagascar, Malawi, Mali, Maurice, Mozambique, Namibie, Niger, Nigéria, Ouganda, République centrafricaine, République démocratique du Congo, République unie de Tanzanie, Rwanda, Sao Tomé-et-Principe, Sénégal, Seychelles, Soudan du Sud, Tchad, Togo, Zambie, Zimbabwe</w:t>
            </w:r>
          </w:p>
        </w:tc>
      </w:tr>
      <w:tr w:rsidR="00314522" w:rsidRPr="00F06CEB" w14:paraId="6CE12562" w14:textId="77777777" w:rsidTr="00D77DA1">
        <w:trPr>
          <w:jc w:val="center"/>
        </w:trPr>
        <w:tc>
          <w:tcPr>
            <w:tcW w:w="844" w:type="pct"/>
            <w:tcBorders>
              <w:top w:val="single" w:sz="4" w:space="0" w:color="auto"/>
              <w:bottom w:val="single" w:sz="4" w:space="0" w:color="auto"/>
            </w:tcBorders>
            <w:shd w:val="clear" w:color="auto" w:fill="F3F3F3"/>
            <w:vAlign w:val="center"/>
          </w:tcPr>
          <w:p w14:paraId="5F15AF6F" w14:textId="01F07466" w:rsidR="00314522" w:rsidRPr="00F06CEB" w:rsidRDefault="00B73ABC" w:rsidP="00C60B26">
            <w:pPr>
              <w:pStyle w:val="Marge"/>
              <w:spacing w:before="240"/>
              <w:jc w:val="left"/>
              <w:rPr>
                <w:rFonts w:cs="Arial"/>
                <w:b/>
                <w:spacing w:val="-3"/>
              </w:rPr>
            </w:pPr>
            <w:r w:rsidRPr="00F06CEB">
              <w:rPr>
                <w:b/>
              </w:rPr>
              <w:t>États arabes</w:t>
            </w:r>
          </w:p>
        </w:tc>
        <w:tc>
          <w:tcPr>
            <w:tcW w:w="251" w:type="pct"/>
            <w:vAlign w:val="center"/>
          </w:tcPr>
          <w:p w14:paraId="5DF812E8" w14:textId="77777777" w:rsidR="00314522" w:rsidRPr="00F06CEB" w:rsidRDefault="00314522" w:rsidP="00517A25">
            <w:pPr>
              <w:pStyle w:val="Marge"/>
              <w:spacing w:before="60" w:after="60"/>
            </w:pPr>
            <w:r w:rsidRPr="00F06CEB">
              <w:t>18</w:t>
            </w:r>
          </w:p>
        </w:tc>
        <w:tc>
          <w:tcPr>
            <w:tcW w:w="3905" w:type="pct"/>
            <w:vAlign w:val="center"/>
          </w:tcPr>
          <w:p w14:paraId="10FA4977" w14:textId="77777777" w:rsidR="00314522" w:rsidRPr="00F06CEB" w:rsidRDefault="00314522" w:rsidP="00517A25">
            <w:pPr>
              <w:pStyle w:val="Marge"/>
              <w:spacing w:before="60" w:after="60"/>
              <w:rPr>
                <w:rFonts w:cs="Arial"/>
                <w:spacing w:val="-3"/>
              </w:rPr>
            </w:pPr>
            <w:r w:rsidRPr="00F06CEB">
              <w:t xml:space="preserve">Algérie, Arabie saoudite, Bahreïn, Égypte, Émirats arabes unis, Iraq, Jordanie, Koweït, Liban, Maroc, Mauritanie, Oman, Palestine, </w:t>
            </w:r>
            <w:r w:rsidRPr="00F06CEB">
              <w:rPr>
                <w:rStyle w:val="apple-style-span"/>
                <w:color w:val="000000"/>
              </w:rPr>
              <w:t xml:space="preserve">Qatar, </w:t>
            </w:r>
            <w:r w:rsidRPr="00F06CEB">
              <w:t xml:space="preserve">République arabe syrienne, </w:t>
            </w:r>
            <w:r w:rsidRPr="00F06CEB">
              <w:rPr>
                <w:rStyle w:val="apple-style-span"/>
                <w:color w:val="000000"/>
              </w:rPr>
              <w:t xml:space="preserve">Soudan, </w:t>
            </w:r>
            <w:r w:rsidRPr="00F06CEB">
              <w:t>Tunisie, Yémen</w:t>
            </w:r>
          </w:p>
        </w:tc>
      </w:tr>
    </w:tbl>
    <w:p w14:paraId="4D37C1BC" w14:textId="77777777" w:rsidR="0053318C" w:rsidRDefault="0053318C" w:rsidP="002540FF">
      <w:pPr>
        <w:pStyle w:val="COMParaDecision"/>
        <w:numPr>
          <w:ilvl w:val="0"/>
          <w:numId w:val="0"/>
        </w:numPr>
        <w:jc w:val="left"/>
      </w:pPr>
    </w:p>
    <w:sectPr w:rsidR="0053318C" w:rsidSect="00655736">
      <w:headerReference w:type="even" r:id="rId22"/>
      <w:headerReference w:type="default" r:id="rId23"/>
      <w:headerReference w:type="first" r:id="rId24"/>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20CEE" w16cid:durableId="1F60C434"/>
  <w16cid:commentId w16cid:paraId="3E560C33" w16cid:durableId="1F60C435"/>
  <w16cid:commentId w16cid:paraId="73A99131" w16cid:durableId="1F61BD93"/>
  <w16cid:commentId w16cid:paraId="545B1084" w16cid:durableId="1F61BEA0"/>
  <w16cid:commentId w16cid:paraId="2E5555C2" w16cid:durableId="1F61B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8C1A" w14:textId="77777777" w:rsidR="00C07537" w:rsidRDefault="00C07537" w:rsidP="00655736">
      <w:r>
        <w:separator/>
      </w:r>
    </w:p>
  </w:endnote>
  <w:endnote w:type="continuationSeparator" w:id="0">
    <w:p w14:paraId="55594A8E" w14:textId="77777777" w:rsidR="00C07537" w:rsidRDefault="00C0753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2969" w14:textId="77777777" w:rsidR="00C07537" w:rsidRDefault="00C07537" w:rsidP="00655736">
      <w:r>
        <w:separator/>
      </w:r>
    </w:p>
  </w:footnote>
  <w:footnote w:type="continuationSeparator" w:id="0">
    <w:p w14:paraId="203732BF" w14:textId="77777777" w:rsidR="00C07537" w:rsidRDefault="00C07537" w:rsidP="00655736">
      <w:r>
        <w:continuationSeparator/>
      </w:r>
    </w:p>
  </w:footnote>
  <w:footnote w:id="1">
    <w:p w14:paraId="63D3DA6D" w14:textId="47306A59" w:rsidR="00EF6E74" w:rsidRPr="00C60B26" w:rsidRDefault="00EF6E74" w:rsidP="00BD3EE7">
      <w:pPr>
        <w:pStyle w:val="FootnoteText"/>
        <w:ind w:left="567" w:hanging="567"/>
        <w:jc w:val="both"/>
        <w:rPr>
          <w:rFonts w:ascii="Arial" w:hAnsi="Arial" w:cs="Arial"/>
          <w:sz w:val="18"/>
          <w:szCs w:val="18"/>
        </w:rPr>
      </w:pPr>
      <w:r w:rsidRPr="00C60B26">
        <w:rPr>
          <w:rStyle w:val="FootnoteReference"/>
          <w:rFonts w:ascii="Arial" w:hAnsi="Arial" w:cs="Arial"/>
          <w:sz w:val="18"/>
          <w:szCs w:val="18"/>
          <w:vertAlign w:val="baseline"/>
        </w:rPr>
        <w:footnoteRef/>
      </w:r>
      <w:r w:rsidRPr="00C60B26">
        <w:rPr>
          <w:rFonts w:ascii="Arial" w:hAnsi="Arial"/>
          <w:sz w:val="18"/>
          <w:szCs w:val="18"/>
        </w:rPr>
        <w:t xml:space="preserve">. </w:t>
      </w:r>
      <w:r w:rsidRPr="00C60B26">
        <w:rPr>
          <w:rFonts w:ascii="Arial" w:hAnsi="Arial"/>
          <w:sz w:val="18"/>
          <w:szCs w:val="18"/>
        </w:rPr>
        <w:tab/>
        <w:t>Appendice 2 du Règlement intérieur de la Conférence générale inclus dans l</w:t>
      </w:r>
      <w:r w:rsidR="00C60B26" w:rsidRPr="00C60B26">
        <w:rPr>
          <w:rFonts w:ascii="Arial" w:hAnsi="Arial"/>
          <w:sz w:val="18"/>
          <w:szCs w:val="18"/>
        </w:rPr>
        <w:t>’</w:t>
      </w:r>
      <w:r w:rsidRPr="00C60B26">
        <w:rPr>
          <w:rFonts w:ascii="Arial" w:hAnsi="Arial"/>
          <w:sz w:val="18"/>
          <w:szCs w:val="18"/>
        </w:rPr>
        <w:t>édition 2018 des Textes fondamentaux de l</w:t>
      </w:r>
      <w:r w:rsidR="00C60B26" w:rsidRPr="00C60B26">
        <w:rPr>
          <w:rFonts w:ascii="Arial" w:hAnsi="Arial"/>
          <w:sz w:val="18"/>
          <w:szCs w:val="18"/>
        </w:rPr>
        <w:t>’</w:t>
      </w:r>
      <w:r w:rsidRPr="00C60B26">
        <w:rPr>
          <w:rFonts w:ascii="Arial" w:hAnsi="Arial"/>
          <w:sz w:val="18"/>
          <w:szCs w:val="18"/>
        </w:rPr>
        <w:t>UNESCO (p.6</w:t>
      </w:r>
      <w:r w:rsidR="007D2CAB" w:rsidRPr="00C60B26">
        <w:rPr>
          <w:rFonts w:ascii="Arial" w:hAnsi="Arial"/>
          <w:sz w:val="18"/>
          <w:szCs w:val="18"/>
        </w:rPr>
        <w:t>4</w:t>
      </w:r>
      <w:r w:rsidRPr="00C60B26">
        <w:rPr>
          <w:rFonts w:ascii="Arial" w:hAnsi="Arial"/>
          <w:sz w:val="18"/>
          <w:szCs w:val="18"/>
        </w:rPr>
        <w:t xml:space="preserve">) : </w:t>
      </w:r>
      <w:hyperlink r:id="rId1" w:history="1">
        <w:r w:rsidRPr="00C60B26">
          <w:rPr>
            <w:rStyle w:val="Hyperlink"/>
            <w:rFonts w:ascii="Arial" w:hAnsi="Arial"/>
            <w:sz w:val="18"/>
            <w:szCs w:val="18"/>
          </w:rPr>
          <w:t>http://unesdoc.unesco.org/images/0026/002617/261751f.pdf</w:t>
        </w:r>
      </w:hyperlink>
      <w:r w:rsidRPr="00C60B26">
        <w:rPr>
          <w:rStyle w:val="Hyperlink"/>
          <w:rFonts w:ascii="Arial" w:hAnsi="Arial"/>
          <w:sz w:val="18"/>
          <w:szCs w:val="18"/>
        </w:rPr>
        <w:t>.</w:t>
      </w:r>
    </w:p>
  </w:footnote>
  <w:footnote w:id="2">
    <w:p w14:paraId="3E6ED882" w14:textId="5DC808CF" w:rsidR="00EF6E74" w:rsidRPr="007900F8" w:rsidRDefault="00EF6E74" w:rsidP="00517A25">
      <w:pPr>
        <w:pStyle w:val="FootnoteText"/>
        <w:ind w:left="567" w:hanging="567"/>
        <w:rPr>
          <w:rFonts w:ascii="Arial" w:hAnsi="Arial" w:cs="Arial"/>
          <w:sz w:val="18"/>
          <w:szCs w:val="18"/>
        </w:rPr>
      </w:pPr>
      <w:r w:rsidRPr="007900F8">
        <w:rPr>
          <w:rStyle w:val="FootnoteReference"/>
          <w:rFonts w:ascii="Arial" w:hAnsi="Arial" w:cs="Arial"/>
          <w:sz w:val="18"/>
          <w:szCs w:val="18"/>
          <w:vertAlign w:val="baseline"/>
        </w:rPr>
        <w:footnoteRef/>
      </w:r>
      <w:r w:rsidRPr="007900F8">
        <w:rPr>
          <w:rFonts w:ascii="Arial" w:hAnsi="Arial"/>
          <w:sz w:val="18"/>
          <w:szCs w:val="18"/>
        </w:rPr>
        <w:t>.</w:t>
      </w:r>
      <w:r w:rsidRPr="007900F8">
        <w:rPr>
          <w:rFonts w:ascii="Arial" w:hAnsi="Arial"/>
          <w:sz w:val="18"/>
          <w:szCs w:val="18"/>
        </w:rPr>
        <w:tab/>
        <w:t>Chapitre I de l</w:t>
      </w:r>
      <w:r w:rsidR="00C60B26" w:rsidRPr="007900F8">
        <w:rPr>
          <w:rFonts w:ascii="Arial" w:hAnsi="Arial"/>
          <w:sz w:val="18"/>
          <w:szCs w:val="18"/>
        </w:rPr>
        <w:t>’</w:t>
      </w:r>
      <w:r w:rsidRPr="007900F8">
        <w:rPr>
          <w:rFonts w:ascii="Arial" w:hAnsi="Arial"/>
          <w:sz w:val="18"/>
          <w:szCs w:val="18"/>
        </w:rPr>
        <w:t>édition 2018 des Textes fondamentaux de l</w:t>
      </w:r>
      <w:r w:rsidR="00C60B26" w:rsidRPr="007900F8">
        <w:rPr>
          <w:rFonts w:ascii="Arial" w:hAnsi="Arial"/>
          <w:sz w:val="18"/>
          <w:szCs w:val="18"/>
        </w:rPr>
        <w:t>’</w:t>
      </w:r>
      <w:r w:rsidR="007900F8">
        <w:rPr>
          <w:rFonts w:ascii="Arial" w:hAnsi="Arial"/>
          <w:sz w:val="18"/>
          <w:szCs w:val="18"/>
        </w:rPr>
        <w:t>UNESCO (p.</w:t>
      </w:r>
      <w:r w:rsidRPr="007900F8">
        <w:rPr>
          <w:rFonts w:ascii="Arial" w:hAnsi="Arial"/>
          <w:sz w:val="18"/>
          <w:szCs w:val="18"/>
        </w:rPr>
        <w:t>14</w:t>
      </w:r>
      <w:r w:rsidR="007E2FDE" w:rsidRPr="007900F8">
        <w:rPr>
          <w:rFonts w:ascii="Arial" w:hAnsi="Arial"/>
          <w:sz w:val="18"/>
          <w:szCs w:val="18"/>
        </w:rPr>
        <w:t>3</w:t>
      </w:r>
      <w:r w:rsidRPr="007900F8">
        <w:rPr>
          <w:rFonts w:ascii="Arial" w:hAnsi="Arial"/>
          <w:sz w:val="18"/>
          <w:szCs w:val="18"/>
        </w:rPr>
        <w:t xml:space="preserve">) : </w:t>
      </w:r>
      <w:hyperlink r:id="rId2" w:history="1">
        <w:r w:rsidRPr="007900F8">
          <w:rPr>
            <w:rStyle w:val="Hyperlink"/>
            <w:rFonts w:ascii="Arial" w:hAnsi="Arial"/>
            <w:sz w:val="18"/>
            <w:szCs w:val="18"/>
          </w:rPr>
          <w:t>http://unesdoc.unesco.org/images/0026/002617/261751f.pdf</w:t>
        </w:r>
      </w:hyperlink>
      <w:r w:rsidRPr="007900F8">
        <w:rPr>
          <w:rStyle w:val="Hyperlink"/>
          <w:rFonts w:ascii="Arial" w:hAnsi="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EB7E" w14:textId="4DF9B265" w:rsidR="00EF6E74" w:rsidRPr="00C23A97" w:rsidRDefault="00EF6E74" w:rsidP="001D14FE">
    <w:pPr>
      <w:pStyle w:val="Header"/>
      <w:rPr>
        <w:rFonts w:ascii="Arial" w:hAnsi="Arial" w:cs="Arial"/>
      </w:rPr>
    </w:pPr>
    <w:r>
      <w:rPr>
        <w:rFonts w:ascii="Arial" w:hAnsi="Arial"/>
        <w:sz w:val="20"/>
        <w:szCs w:val="20"/>
      </w:rPr>
      <w:t xml:space="preserve">ITH/18/13.COM/8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A00E19">
      <w:rPr>
        <w:rStyle w:val="PageNumber"/>
        <w:rFonts w:ascii="Arial" w:hAnsi="Arial" w:cs="Arial"/>
        <w:noProof/>
        <w:sz w:val="20"/>
        <w:szCs w:val="20"/>
      </w:rPr>
      <w:t>8</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CCE4" w14:textId="678A112E" w:rsidR="00EF6E74" w:rsidRPr="0063300C" w:rsidRDefault="00EF6E74" w:rsidP="001D14FE">
    <w:pPr>
      <w:pStyle w:val="Header"/>
      <w:jc w:val="right"/>
      <w:rPr>
        <w:rFonts w:ascii="Arial" w:hAnsi="Arial" w:cs="Arial"/>
      </w:rPr>
    </w:pPr>
    <w:r>
      <w:rPr>
        <w:rFonts w:ascii="Arial" w:hAnsi="Arial"/>
        <w:sz w:val="20"/>
        <w:szCs w:val="20"/>
      </w:rPr>
      <w:t xml:space="preserve">ITH/18/13.COM/8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A00E19">
      <w:rPr>
        <w:rStyle w:val="PageNumber"/>
        <w:rFonts w:ascii="Arial" w:hAnsi="Arial" w:cs="Arial"/>
        <w:noProof/>
        <w:sz w:val="20"/>
        <w:szCs w:val="20"/>
      </w:rPr>
      <w:t>7</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02997" w14:textId="5E7C054F" w:rsidR="00EF6E74" w:rsidRPr="00E95AE2" w:rsidRDefault="00C60B26">
    <w:pPr>
      <w:pStyle w:val="Header"/>
      <w:rPr>
        <w:sz w:val="22"/>
        <w:szCs w:val="22"/>
      </w:rPr>
    </w:pPr>
    <w:r>
      <w:rPr>
        <w:noProof/>
        <w:lang w:val="en-US" w:eastAsia="ko-KR"/>
      </w:rPr>
      <w:drawing>
        <wp:anchor distT="0" distB="0" distL="114300" distR="114300" simplePos="0" relativeHeight="251659264" behindDoc="0" locked="0" layoutInCell="1" allowOverlap="1" wp14:anchorId="56E47E17" wp14:editId="1820BE35">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85642" w14:textId="77777777" w:rsidR="00EF6E74" w:rsidRPr="00B071E5" w:rsidRDefault="00EF6E74" w:rsidP="001D14FE">
    <w:pPr>
      <w:pStyle w:val="Header"/>
      <w:spacing w:after="520"/>
      <w:jc w:val="right"/>
      <w:rPr>
        <w:rFonts w:ascii="Arial" w:hAnsi="Arial" w:cs="Arial"/>
        <w:b/>
        <w:sz w:val="44"/>
        <w:szCs w:val="44"/>
        <w:lang w:val="en-US"/>
      </w:rPr>
    </w:pPr>
    <w:r w:rsidRPr="00B071E5">
      <w:rPr>
        <w:rFonts w:ascii="Arial" w:hAnsi="Arial"/>
        <w:b/>
        <w:sz w:val="44"/>
        <w:szCs w:val="44"/>
        <w:lang w:val="en-US"/>
      </w:rPr>
      <w:t>13 COM</w:t>
    </w:r>
  </w:p>
  <w:p w14:paraId="33B1D1A2" w14:textId="77777777" w:rsidR="00EF6E74" w:rsidRPr="00B071E5" w:rsidRDefault="00EF6E74" w:rsidP="001D14FE">
    <w:pPr>
      <w:jc w:val="right"/>
      <w:rPr>
        <w:rFonts w:ascii="Arial" w:hAnsi="Arial" w:cs="Arial"/>
        <w:b/>
        <w:sz w:val="22"/>
        <w:szCs w:val="22"/>
        <w:lang w:val="en-US"/>
      </w:rPr>
    </w:pPr>
    <w:r w:rsidRPr="00B071E5">
      <w:rPr>
        <w:rFonts w:ascii="Arial" w:hAnsi="Arial"/>
        <w:b/>
        <w:sz w:val="22"/>
        <w:szCs w:val="22"/>
        <w:lang w:val="en-US"/>
      </w:rPr>
      <w:t>ITH/18/13.COM/8</w:t>
    </w:r>
  </w:p>
  <w:p w14:paraId="47C3FB68" w14:textId="78E81D6C" w:rsidR="00EF6E74" w:rsidRPr="00A00E19" w:rsidRDefault="00EF6E74" w:rsidP="00A00E19">
    <w:pPr>
      <w:jc w:val="right"/>
      <w:rPr>
        <w:rFonts w:ascii="Arial" w:eastAsiaTheme="minorEastAsia" w:hAnsi="Arial" w:cs="Arial"/>
        <w:b/>
        <w:sz w:val="22"/>
        <w:szCs w:val="22"/>
      </w:rPr>
    </w:pPr>
    <w:r w:rsidRPr="00A00E19">
      <w:rPr>
        <w:rFonts w:ascii="Arial" w:hAnsi="Arial"/>
        <w:b/>
        <w:sz w:val="22"/>
        <w:szCs w:val="22"/>
      </w:rPr>
      <w:t xml:space="preserve">Paris, le </w:t>
    </w:r>
    <w:r w:rsidR="00A00E19" w:rsidRPr="00A00E19">
      <w:rPr>
        <w:rFonts w:ascii="Arial" w:hAnsi="Arial"/>
        <w:b/>
        <w:sz w:val="22"/>
        <w:szCs w:val="22"/>
      </w:rPr>
      <w:t>26 octobre </w:t>
    </w:r>
    <w:r w:rsidRPr="00A00E19">
      <w:rPr>
        <w:rFonts w:ascii="Arial" w:hAnsi="Arial"/>
        <w:b/>
        <w:sz w:val="22"/>
        <w:szCs w:val="22"/>
      </w:rPr>
      <w:t>2018</w:t>
    </w:r>
  </w:p>
  <w:p w14:paraId="4490B087" w14:textId="77777777" w:rsidR="00EF6E74" w:rsidRPr="00F32C23" w:rsidRDefault="00EF6E74" w:rsidP="000048ED">
    <w:pPr>
      <w:jc w:val="right"/>
      <w:rPr>
        <w:rFonts w:ascii="Arial" w:hAnsi="Arial" w:cs="Arial"/>
        <w:b/>
        <w:sz w:val="22"/>
        <w:szCs w:val="22"/>
      </w:rPr>
    </w:pPr>
    <w:r>
      <w:rPr>
        <w:rFonts w:ascii="Arial" w:hAnsi="Arial"/>
        <w:b/>
        <w:sz w:val="22"/>
        <w:szCs w:val="22"/>
      </w:rPr>
      <w:t>Original : anglais</w:t>
    </w:r>
  </w:p>
  <w:p w14:paraId="7DD10C85" w14:textId="77777777" w:rsidR="00EF6E74" w:rsidRPr="00A00E19" w:rsidRDefault="00EF6E74">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261"/>
    <w:multiLevelType w:val="hybridMultilevel"/>
    <w:tmpl w:val="AAAAB4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9B6DF7"/>
    <w:multiLevelType w:val="hybridMultilevel"/>
    <w:tmpl w:val="B7FE324A"/>
    <w:lvl w:ilvl="0" w:tplc="EC18F558">
      <w:start w:val="1"/>
      <w:numFmt w:val="lowerRoman"/>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 w15:restartNumberingAfterBreak="0">
    <w:nsid w:val="0E5E62E6"/>
    <w:multiLevelType w:val="hybridMultilevel"/>
    <w:tmpl w:val="42146190"/>
    <w:lvl w:ilvl="0" w:tplc="625CF5D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2416C37"/>
    <w:multiLevelType w:val="hybridMultilevel"/>
    <w:tmpl w:val="8300311A"/>
    <w:lvl w:ilvl="0" w:tplc="040C001B">
      <w:start w:val="1"/>
      <w:numFmt w:val="lowerRoman"/>
      <w:lvlText w:val="%1."/>
      <w:lvlJc w:val="righ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5" w15:restartNumberingAfterBreak="0">
    <w:nsid w:val="12D3577E"/>
    <w:multiLevelType w:val="hybridMultilevel"/>
    <w:tmpl w:val="874CF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F07BFE"/>
    <w:multiLevelType w:val="hybridMultilevel"/>
    <w:tmpl w:val="58AE7356"/>
    <w:lvl w:ilvl="0" w:tplc="165ACFFA">
      <w:start w:val="1"/>
      <w:numFmt w:val="decimal"/>
      <w:pStyle w:val="COMPara"/>
      <w:lvlText w:val="%1."/>
      <w:lvlJc w:val="left"/>
      <w:pPr>
        <w:ind w:left="720" w:hanging="360"/>
      </w:pPr>
      <w:rPr>
        <w:i w:val="0"/>
      </w:rPr>
    </w:lvl>
    <w:lvl w:ilvl="1" w:tplc="6818B850">
      <w:start w:val="1"/>
      <w:numFmt w:val="lowerRoman"/>
      <w:lvlText w:val="%2."/>
      <w:lvlJc w:val="left"/>
      <w:pPr>
        <w:ind w:left="107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C8F61786"/>
    <w:lvl w:ilvl="0" w:tplc="918ACE6A">
      <w:start w:val="1"/>
      <w:numFmt w:val="decimal"/>
      <w:pStyle w:val="COMParaDecision"/>
      <w:lvlText w:val="%1."/>
      <w:lvlJc w:val="left"/>
      <w:pPr>
        <w:ind w:left="1287" w:hanging="360"/>
      </w:pPr>
    </w:lvl>
    <w:lvl w:ilvl="1" w:tplc="040C0013">
      <w:start w:val="1"/>
      <w:numFmt w:val="upperRoman"/>
      <w:lvlText w:val="%2."/>
      <w:lvlJc w:val="right"/>
      <w:pPr>
        <w:ind w:left="163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7C7628"/>
    <w:multiLevelType w:val="hybridMultilevel"/>
    <w:tmpl w:val="061498DE"/>
    <w:lvl w:ilvl="0" w:tplc="918ACE6A">
      <w:start w:val="1"/>
      <w:numFmt w:val="decimal"/>
      <w:lvlText w:val="%1."/>
      <w:lvlJc w:val="left"/>
      <w:pPr>
        <w:ind w:left="1287" w:hanging="360"/>
      </w:pPr>
    </w:lvl>
    <w:lvl w:ilvl="1" w:tplc="51209A0A">
      <w:start w:val="1"/>
      <w:numFmt w:val="lowerRoman"/>
      <w:lvlText w:val="%2."/>
      <w:lvlJc w:val="left"/>
      <w:pPr>
        <w:ind w:left="1637" w:hanging="360"/>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E87FE8"/>
    <w:multiLevelType w:val="hybridMultilevel"/>
    <w:tmpl w:val="5664CA0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30840C9"/>
    <w:multiLevelType w:val="hybridMultilevel"/>
    <w:tmpl w:val="C3B69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007E1F"/>
    <w:multiLevelType w:val="hybridMultilevel"/>
    <w:tmpl w:val="90A6D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508005BC"/>
    <w:multiLevelType w:val="hybridMultilevel"/>
    <w:tmpl w:val="430A4D56"/>
    <w:lvl w:ilvl="0" w:tplc="040C001B">
      <w:start w:val="1"/>
      <w:numFmt w:val="lowerRoman"/>
      <w:lvlText w:val="%1."/>
      <w:lvlJc w:val="righ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5B01759C"/>
    <w:multiLevelType w:val="hybridMultilevel"/>
    <w:tmpl w:val="7F4E6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67856CA"/>
    <w:multiLevelType w:val="hybridMultilevel"/>
    <w:tmpl w:val="B7ACF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B72AA8"/>
    <w:multiLevelType w:val="hybridMultilevel"/>
    <w:tmpl w:val="561618A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DF52C6"/>
    <w:multiLevelType w:val="hybridMultilevel"/>
    <w:tmpl w:val="0486E188"/>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03C2F"/>
    <w:multiLevelType w:val="hybridMultilevel"/>
    <w:tmpl w:val="56B4C910"/>
    <w:lvl w:ilvl="0" w:tplc="040C001B">
      <w:start w:val="1"/>
      <w:numFmt w:val="lowerRoman"/>
      <w:lvlText w:val="%1."/>
      <w:lvlJc w:val="righ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9"/>
  </w:num>
  <w:num w:numId="3">
    <w:abstractNumId w:val="6"/>
  </w:num>
  <w:num w:numId="4">
    <w:abstractNumId w:val="26"/>
  </w:num>
  <w:num w:numId="5">
    <w:abstractNumId w:val="22"/>
  </w:num>
  <w:num w:numId="6">
    <w:abstractNumId w:val="3"/>
  </w:num>
  <w:num w:numId="7">
    <w:abstractNumId w:val="7"/>
  </w:num>
  <w:num w:numId="8">
    <w:abstractNumId w:val="17"/>
  </w:num>
  <w:num w:numId="9">
    <w:abstractNumId w:val="8"/>
  </w:num>
  <w:num w:numId="10">
    <w:abstractNumId w:val="10"/>
  </w:num>
  <w:num w:numId="11">
    <w:abstractNumId w:val="14"/>
  </w:num>
  <w:num w:numId="12">
    <w:abstractNumId w:val="12"/>
  </w:num>
  <w:num w:numId="13">
    <w:abstractNumId w:val="8"/>
  </w:num>
  <w:num w:numId="14">
    <w:abstractNumId w:val="18"/>
  </w:num>
  <w:num w:numId="15">
    <w:abstractNumId w:val="8"/>
  </w:num>
  <w:num w:numId="16">
    <w:abstractNumId w:val="8"/>
  </w:num>
  <w:num w:numId="17">
    <w:abstractNumId w:val="4"/>
  </w:num>
  <w:num w:numId="18">
    <w:abstractNumId w:val="25"/>
  </w:num>
  <w:num w:numId="19">
    <w:abstractNumId w:val="8"/>
  </w:num>
  <w:num w:numId="20">
    <w:abstractNumId w:val="8"/>
  </w:num>
  <w:num w:numId="21">
    <w:abstractNumId w:val="1"/>
  </w:num>
  <w:num w:numId="22">
    <w:abstractNumId w:val="23"/>
  </w:num>
  <w:num w:numId="23">
    <w:abstractNumId w:val="15"/>
  </w:num>
  <w:num w:numId="24">
    <w:abstractNumId w:val="11"/>
  </w:num>
  <w:num w:numId="25">
    <w:abstractNumId w:val="13"/>
  </w:num>
  <w:num w:numId="26">
    <w:abstractNumId w:val="21"/>
  </w:num>
  <w:num w:numId="27">
    <w:abstractNumId w:val="16"/>
  </w:num>
  <w:num w:numId="28">
    <w:abstractNumId w:val="5"/>
  </w:num>
  <w:num w:numId="29">
    <w:abstractNumId w:val="19"/>
  </w:num>
  <w:num w:numId="30">
    <w:abstractNumId w:val="0"/>
  </w:num>
  <w:num w:numId="31">
    <w:abstractNumId w:val="8"/>
  </w:num>
  <w:num w:numId="32">
    <w:abstractNumId w:val="8"/>
  </w:num>
  <w:num w:numId="33">
    <w:abstractNumId w:val="8"/>
    <w:lvlOverride w:ilvl="0">
      <w:startOverride w:val="1"/>
    </w:lvlOverride>
  </w:num>
  <w:num w:numId="34">
    <w:abstractNumId w:val="8"/>
  </w:num>
  <w:num w:numId="35">
    <w:abstractNumId w:val="2"/>
  </w:num>
  <w:num w:numId="36">
    <w:abstractNumId w:val="24"/>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8"/>
  </w:num>
  <w:num w:numId="50">
    <w:abstractNumId w:val="8"/>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323EF"/>
    <w:rsid w:val="00041A66"/>
    <w:rsid w:val="00047656"/>
    <w:rsid w:val="0005176E"/>
    <w:rsid w:val="000765F7"/>
    <w:rsid w:val="00077AB7"/>
    <w:rsid w:val="00081CD8"/>
    <w:rsid w:val="0008597B"/>
    <w:rsid w:val="000945DC"/>
    <w:rsid w:val="000A4F09"/>
    <w:rsid w:val="000A7F0E"/>
    <w:rsid w:val="000B1C8F"/>
    <w:rsid w:val="000B3A7B"/>
    <w:rsid w:val="000B4695"/>
    <w:rsid w:val="000C0D61"/>
    <w:rsid w:val="000C4519"/>
    <w:rsid w:val="000C7603"/>
    <w:rsid w:val="000F29FD"/>
    <w:rsid w:val="000F3A3F"/>
    <w:rsid w:val="00102557"/>
    <w:rsid w:val="00107FB8"/>
    <w:rsid w:val="00117E51"/>
    <w:rsid w:val="001458A9"/>
    <w:rsid w:val="00151381"/>
    <w:rsid w:val="0015230D"/>
    <w:rsid w:val="00164D56"/>
    <w:rsid w:val="001663EF"/>
    <w:rsid w:val="00167B10"/>
    <w:rsid w:val="00173F64"/>
    <w:rsid w:val="0017402F"/>
    <w:rsid w:val="0018130E"/>
    <w:rsid w:val="00183158"/>
    <w:rsid w:val="001918B7"/>
    <w:rsid w:val="00196C1B"/>
    <w:rsid w:val="001B0F73"/>
    <w:rsid w:val="001B5BFE"/>
    <w:rsid w:val="001C2DB7"/>
    <w:rsid w:val="001C3F6F"/>
    <w:rsid w:val="001C5C9B"/>
    <w:rsid w:val="001D14FE"/>
    <w:rsid w:val="001D2A5E"/>
    <w:rsid w:val="001D5C04"/>
    <w:rsid w:val="001E0316"/>
    <w:rsid w:val="001F05F5"/>
    <w:rsid w:val="001F26CF"/>
    <w:rsid w:val="002158BA"/>
    <w:rsid w:val="0021631C"/>
    <w:rsid w:val="002229D8"/>
    <w:rsid w:val="00222A2D"/>
    <w:rsid w:val="00223029"/>
    <w:rsid w:val="00223BD0"/>
    <w:rsid w:val="002274E3"/>
    <w:rsid w:val="00234745"/>
    <w:rsid w:val="002351A6"/>
    <w:rsid w:val="002407AF"/>
    <w:rsid w:val="002540FF"/>
    <w:rsid w:val="00256238"/>
    <w:rsid w:val="00260D13"/>
    <w:rsid w:val="00263114"/>
    <w:rsid w:val="002713F5"/>
    <w:rsid w:val="0027466B"/>
    <w:rsid w:val="002838A5"/>
    <w:rsid w:val="00285A2D"/>
    <w:rsid w:val="00285BB4"/>
    <w:rsid w:val="00294728"/>
    <w:rsid w:val="002948F7"/>
    <w:rsid w:val="002A613D"/>
    <w:rsid w:val="002C09E3"/>
    <w:rsid w:val="002C1492"/>
    <w:rsid w:val="002D7B26"/>
    <w:rsid w:val="002E3702"/>
    <w:rsid w:val="002E5BA2"/>
    <w:rsid w:val="00304F41"/>
    <w:rsid w:val="00305298"/>
    <w:rsid w:val="00305618"/>
    <w:rsid w:val="00311348"/>
    <w:rsid w:val="00314522"/>
    <w:rsid w:val="00324205"/>
    <w:rsid w:val="003310EF"/>
    <w:rsid w:val="003325C0"/>
    <w:rsid w:val="00337CEB"/>
    <w:rsid w:val="00344B58"/>
    <w:rsid w:val="0034539A"/>
    <w:rsid w:val="00345CB4"/>
    <w:rsid w:val="00364DCC"/>
    <w:rsid w:val="00375D42"/>
    <w:rsid w:val="00376669"/>
    <w:rsid w:val="00392958"/>
    <w:rsid w:val="003C0FD9"/>
    <w:rsid w:val="003C3E4D"/>
    <w:rsid w:val="003D069C"/>
    <w:rsid w:val="003D7646"/>
    <w:rsid w:val="003E25A8"/>
    <w:rsid w:val="003F113A"/>
    <w:rsid w:val="003F3384"/>
    <w:rsid w:val="003F3E63"/>
    <w:rsid w:val="003F414F"/>
    <w:rsid w:val="00407480"/>
    <w:rsid w:val="00414643"/>
    <w:rsid w:val="004245D7"/>
    <w:rsid w:val="00440B2B"/>
    <w:rsid w:val="004421E5"/>
    <w:rsid w:val="00445C5A"/>
    <w:rsid w:val="00445D38"/>
    <w:rsid w:val="00452284"/>
    <w:rsid w:val="00457C8E"/>
    <w:rsid w:val="00466183"/>
    <w:rsid w:val="00474D9B"/>
    <w:rsid w:val="004856CA"/>
    <w:rsid w:val="00485AE3"/>
    <w:rsid w:val="00486594"/>
    <w:rsid w:val="00487E67"/>
    <w:rsid w:val="0049705E"/>
    <w:rsid w:val="004A02C3"/>
    <w:rsid w:val="004A0E03"/>
    <w:rsid w:val="004A34A0"/>
    <w:rsid w:val="004A3D7F"/>
    <w:rsid w:val="004A4018"/>
    <w:rsid w:val="004A6732"/>
    <w:rsid w:val="004B1A4C"/>
    <w:rsid w:val="004C5520"/>
    <w:rsid w:val="004D4D3A"/>
    <w:rsid w:val="004E0232"/>
    <w:rsid w:val="004E2425"/>
    <w:rsid w:val="004E2752"/>
    <w:rsid w:val="004F270D"/>
    <w:rsid w:val="005008A8"/>
    <w:rsid w:val="0050419F"/>
    <w:rsid w:val="0051439B"/>
    <w:rsid w:val="00514BA5"/>
    <w:rsid w:val="00517A25"/>
    <w:rsid w:val="00526B7B"/>
    <w:rsid w:val="005308CE"/>
    <w:rsid w:val="0053318C"/>
    <w:rsid w:val="0054676D"/>
    <w:rsid w:val="00546EA5"/>
    <w:rsid w:val="00562B5F"/>
    <w:rsid w:val="00571DD1"/>
    <w:rsid w:val="005740FA"/>
    <w:rsid w:val="0057439C"/>
    <w:rsid w:val="005750AA"/>
    <w:rsid w:val="00577CE6"/>
    <w:rsid w:val="00592CEE"/>
    <w:rsid w:val="005A25C6"/>
    <w:rsid w:val="005A2718"/>
    <w:rsid w:val="005A49DA"/>
    <w:rsid w:val="005A53AA"/>
    <w:rsid w:val="005B0127"/>
    <w:rsid w:val="005B3ABA"/>
    <w:rsid w:val="005B5CE7"/>
    <w:rsid w:val="005B7A35"/>
    <w:rsid w:val="005C4B73"/>
    <w:rsid w:val="005C4BD8"/>
    <w:rsid w:val="005E1D2B"/>
    <w:rsid w:val="005E7074"/>
    <w:rsid w:val="005F17CD"/>
    <w:rsid w:val="005F2BAF"/>
    <w:rsid w:val="00600D93"/>
    <w:rsid w:val="00606902"/>
    <w:rsid w:val="006112CC"/>
    <w:rsid w:val="00627E3F"/>
    <w:rsid w:val="0063300C"/>
    <w:rsid w:val="00633A4C"/>
    <w:rsid w:val="00634717"/>
    <w:rsid w:val="00635B26"/>
    <w:rsid w:val="006405D8"/>
    <w:rsid w:val="00655736"/>
    <w:rsid w:val="00663B8D"/>
    <w:rsid w:val="006715C3"/>
    <w:rsid w:val="00692707"/>
    <w:rsid w:val="00696C8D"/>
    <w:rsid w:val="00697B85"/>
    <w:rsid w:val="006A2AC2"/>
    <w:rsid w:val="006A3617"/>
    <w:rsid w:val="006B01C8"/>
    <w:rsid w:val="006B1706"/>
    <w:rsid w:val="006D53DD"/>
    <w:rsid w:val="006E0E76"/>
    <w:rsid w:val="006E0FAE"/>
    <w:rsid w:val="006E2BAF"/>
    <w:rsid w:val="006E46E4"/>
    <w:rsid w:val="006F0FE4"/>
    <w:rsid w:val="006F1360"/>
    <w:rsid w:val="006F3E70"/>
    <w:rsid w:val="006F46FA"/>
    <w:rsid w:val="007154E6"/>
    <w:rsid w:val="00717DA5"/>
    <w:rsid w:val="007316E4"/>
    <w:rsid w:val="00735F2C"/>
    <w:rsid w:val="0073622C"/>
    <w:rsid w:val="00744484"/>
    <w:rsid w:val="00747566"/>
    <w:rsid w:val="00760C0C"/>
    <w:rsid w:val="00763BAC"/>
    <w:rsid w:val="00773188"/>
    <w:rsid w:val="00783782"/>
    <w:rsid w:val="00784B8C"/>
    <w:rsid w:val="007879E1"/>
    <w:rsid w:val="007900F8"/>
    <w:rsid w:val="007936A3"/>
    <w:rsid w:val="007B6FEB"/>
    <w:rsid w:val="007C6687"/>
    <w:rsid w:val="007D0046"/>
    <w:rsid w:val="007D26DD"/>
    <w:rsid w:val="007D2CAB"/>
    <w:rsid w:val="007E2FDE"/>
    <w:rsid w:val="007F6E51"/>
    <w:rsid w:val="00807690"/>
    <w:rsid w:val="00814363"/>
    <w:rsid w:val="00820D41"/>
    <w:rsid w:val="00823A11"/>
    <w:rsid w:val="00835A24"/>
    <w:rsid w:val="0085405E"/>
    <w:rsid w:val="0085414A"/>
    <w:rsid w:val="008561AD"/>
    <w:rsid w:val="0086269D"/>
    <w:rsid w:val="00864FAA"/>
    <w:rsid w:val="0086543A"/>
    <w:rsid w:val="008724E5"/>
    <w:rsid w:val="00884A9D"/>
    <w:rsid w:val="0088512B"/>
    <w:rsid w:val="008A0CE1"/>
    <w:rsid w:val="008A2B2D"/>
    <w:rsid w:val="008A3043"/>
    <w:rsid w:val="008A4E1E"/>
    <w:rsid w:val="008B3C63"/>
    <w:rsid w:val="008B67DD"/>
    <w:rsid w:val="008C296C"/>
    <w:rsid w:val="008D4305"/>
    <w:rsid w:val="008E1A85"/>
    <w:rsid w:val="008E1B34"/>
    <w:rsid w:val="008E1DF0"/>
    <w:rsid w:val="008E25C4"/>
    <w:rsid w:val="008E4BA2"/>
    <w:rsid w:val="008F0927"/>
    <w:rsid w:val="008F629F"/>
    <w:rsid w:val="008F7FB6"/>
    <w:rsid w:val="00901FC9"/>
    <w:rsid w:val="00915736"/>
    <w:rsid w:val="009163A7"/>
    <w:rsid w:val="00920819"/>
    <w:rsid w:val="009307BD"/>
    <w:rsid w:val="00942B5F"/>
    <w:rsid w:val="00944062"/>
    <w:rsid w:val="00946D0B"/>
    <w:rsid w:val="009519DF"/>
    <w:rsid w:val="00954056"/>
    <w:rsid w:val="00955877"/>
    <w:rsid w:val="009622CD"/>
    <w:rsid w:val="009702A5"/>
    <w:rsid w:val="0098792A"/>
    <w:rsid w:val="00994B9A"/>
    <w:rsid w:val="00996D9E"/>
    <w:rsid w:val="00997BA4"/>
    <w:rsid w:val="009A18CD"/>
    <w:rsid w:val="009A6AD1"/>
    <w:rsid w:val="009C3A19"/>
    <w:rsid w:val="009C75E0"/>
    <w:rsid w:val="009D0550"/>
    <w:rsid w:val="009D29EF"/>
    <w:rsid w:val="009D5428"/>
    <w:rsid w:val="009E1A4D"/>
    <w:rsid w:val="009E4949"/>
    <w:rsid w:val="009E6093"/>
    <w:rsid w:val="00A00E19"/>
    <w:rsid w:val="00A00ED9"/>
    <w:rsid w:val="00A019D3"/>
    <w:rsid w:val="00A06531"/>
    <w:rsid w:val="00A0724D"/>
    <w:rsid w:val="00A12558"/>
    <w:rsid w:val="00A13708"/>
    <w:rsid w:val="00A13903"/>
    <w:rsid w:val="00A27EA6"/>
    <w:rsid w:val="00A34ED5"/>
    <w:rsid w:val="00A36DFA"/>
    <w:rsid w:val="00A42522"/>
    <w:rsid w:val="00A45DBF"/>
    <w:rsid w:val="00A53AE0"/>
    <w:rsid w:val="00A622C3"/>
    <w:rsid w:val="00A6371F"/>
    <w:rsid w:val="00A755A2"/>
    <w:rsid w:val="00A80753"/>
    <w:rsid w:val="00A80F68"/>
    <w:rsid w:val="00A91B65"/>
    <w:rsid w:val="00A926AC"/>
    <w:rsid w:val="00A927EA"/>
    <w:rsid w:val="00A97F62"/>
    <w:rsid w:val="00AA4589"/>
    <w:rsid w:val="00AA6660"/>
    <w:rsid w:val="00AB2C36"/>
    <w:rsid w:val="00AB3D4D"/>
    <w:rsid w:val="00AB6DDE"/>
    <w:rsid w:val="00AB70B6"/>
    <w:rsid w:val="00AC202D"/>
    <w:rsid w:val="00AC2C37"/>
    <w:rsid w:val="00AC75D2"/>
    <w:rsid w:val="00AD1A86"/>
    <w:rsid w:val="00AE103E"/>
    <w:rsid w:val="00AE2A5F"/>
    <w:rsid w:val="00AF0A07"/>
    <w:rsid w:val="00AF4AEC"/>
    <w:rsid w:val="00AF625E"/>
    <w:rsid w:val="00B03F0D"/>
    <w:rsid w:val="00B071E5"/>
    <w:rsid w:val="00B07DFC"/>
    <w:rsid w:val="00B404A0"/>
    <w:rsid w:val="00B4054A"/>
    <w:rsid w:val="00B464CF"/>
    <w:rsid w:val="00B5341A"/>
    <w:rsid w:val="00B55064"/>
    <w:rsid w:val="00B55744"/>
    <w:rsid w:val="00B656CE"/>
    <w:rsid w:val="00B67CA3"/>
    <w:rsid w:val="00B733DF"/>
    <w:rsid w:val="00B73ABC"/>
    <w:rsid w:val="00B7771F"/>
    <w:rsid w:val="00B85CD1"/>
    <w:rsid w:val="00B92E11"/>
    <w:rsid w:val="00B964EF"/>
    <w:rsid w:val="00BA1ABC"/>
    <w:rsid w:val="00BB04AF"/>
    <w:rsid w:val="00BC59E8"/>
    <w:rsid w:val="00BC658B"/>
    <w:rsid w:val="00BC7C0D"/>
    <w:rsid w:val="00BD3EE7"/>
    <w:rsid w:val="00BD52C9"/>
    <w:rsid w:val="00BE01DA"/>
    <w:rsid w:val="00BE6354"/>
    <w:rsid w:val="00C07537"/>
    <w:rsid w:val="00C11A1D"/>
    <w:rsid w:val="00C13057"/>
    <w:rsid w:val="00C138D1"/>
    <w:rsid w:val="00C21D59"/>
    <w:rsid w:val="00C23A97"/>
    <w:rsid w:val="00C2402A"/>
    <w:rsid w:val="00C34B13"/>
    <w:rsid w:val="00C35797"/>
    <w:rsid w:val="00C453D2"/>
    <w:rsid w:val="00C60B26"/>
    <w:rsid w:val="00C63316"/>
    <w:rsid w:val="00C64855"/>
    <w:rsid w:val="00C648CE"/>
    <w:rsid w:val="00C70EA7"/>
    <w:rsid w:val="00C7433F"/>
    <w:rsid w:val="00C7453F"/>
    <w:rsid w:val="00C748F5"/>
    <w:rsid w:val="00C7516E"/>
    <w:rsid w:val="00C75770"/>
    <w:rsid w:val="00C93F39"/>
    <w:rsid w:val="00C953EB"/>
    <w:rsid w:val="00CA394F"/>
    <w:rsid w:val="00CA487E"/>
    <w:rsid w:val="00CA56BB"/>
    <w:rsid w:val="00CB0542"/>
    <w:rsid w:val="00CB684C"/>
    <w:rsid w:val="00CC29CC"/>
    <w:rsid w:val="00CD2126"/>
    <w:rsid w:val="00CE60A2"/>
    <w:rsid w:val="00CE6B82"/>
    <w:rsid w:val="00CF6DF3"/>
    <w:rsid w:val="00D00B2B"/>
    <w:rsid w:val="00D01610"/>
    <w:rsid w:val="00D07AEB"/>
    <w:rsid w:val="00D16318"/>
    <w:rsid w:val="00D242E7"/>
    <w:rsid w:val="00D24877"/>
    <w:rsid w:val="00D37AA5"/>
    <w:rsid w:val="00D41343"/>
    <w:rsid w:val="00D4220E"/>
    <w:rsid w:val="00D4791A"/>
    <w:rsid w:val="00D51033"/>
    <w:rsid w:val="00D52090"/>
    <w:rsid w:val="00D66BAA"/>
    <w:rsid w:val="00D71B40"/>
    <w:rsid w:val="00D724FC"/>
    <w:rsid w:val="00D74A17"/>
    <w:rsid w:val="00D77D62"/>
    <w:rsid w:val="00D77DA1"/>
    <w:rsid w:val="00D81384"/>
    <w:rsid w:val="00D8250F"/>
    <w:rsid w:val="00D826B5"/>
    <w:rsid w:val="00D87CCC"/>
    <w:rsid w:val="00D908D3"/>
    <w:rsid w:val="00D95C4C"/>
    <w:rsid w:val="00DA36ED"/>
    <w:rsid w:val="00DA37E2"/>
    <w:rsid w:val="00DA4F7F"/>
    <w:rsid w:val="00DA58FD"/>
    <w:rsid w:val="00DB42C3"/>
    <w:rsid w:val="00DC0B55"/>
    <w:rsid w:val="00DD6483"/>
    <w:rsid w:val="00DE34F1"/>
    <w:rsid w:val="00DE3D8E"/>
    <w:rsid w:val="00DE6160"/>
    <w:rsid w:val="00DF4942"/>
    <w:rsid w:val="00E052E8"/>
    <w:rsid w:val="00E2250E"/>
    <w:rsid w:val="00E244E1"/>
    <w:rsid w:val="00E3104E"/>
    <w:rsid w:val="00E376FE"/>
    <w:rsid w:val="00E447D3"/>
    <w:rsid w:val="00E518C5"/>
    <w:rsid w:val="00E627B1"/>
    <w:rsid w:val="00E70169"/>
    <w:rsid w:val="00E72EAE"/>
    <w:rsid w:val="00E90251"/>
    <w:rsid w:val="00E9376C"/>
    <w:rsid w:val="00E95AE2"/>
    <w:rsid w:val="00EA335E"/>
    <w:rsid w:val="00EA528C"/>
    <w:rsid w:val="00EA580C"/>
    <w:rsid w:val="00EC532C"/>
    <w:rsid w:val="00EC6F8D"/>
    <w:rsid w:val="00EE49F4"/>
    <w:rsid w:val="00EF34E2"/>
    <w:rsid w:val="00EF6E74"/>
    <w:rsid w:val="00EF7851"/>
    <w:rsid w:val="00F0172A"/>
    <w:rsid w:val="00F06CEB"/>
    <w:rsid w:val="00F100DB"/>
    <w:rsid w:val="00F27651"/>
    <w:rsid w:val="00F30DC6"/>
    <w:rsid w:val="00F32C23"/>
    <w:rsid w:val="00F53DE9"/>
    <w:rsid w:val="00F54255"/>
    <w:rsid w:val="00F54650"/>
    <w:rsid w:val="00F55D0C"/>
    <w:rsid w:val="00F576CB"/>
    <w:rsid w:val="00F62C54"/>
    <w:rsid w:val="00F7035D"/>
    <w:rsid w:val="00F71A02"/>
    <w:rsid w:val="00F71DB7"/>
    <w:rsid w:val="00F735F6"/>
    <w:rsid w:val="00F80F87"/>
    <w:rsid w:val="00F96D2E"/>
    <w:rsid w:val="00FA0D63"/>
    <w:rsid w:val="00FA0DC3"/>
    <w:rsid w:val="00FA238A"/>
    <w:rsid w:val="00FB382A"/>
    <w:rsid w:val="00FB7250"/>
    <w:rsid w:val="00FC24B5"/>
    <w:rsid w:val="00FD0512"/>
    <w:rsid w:val="00FD1226"/>
    <w:rsid w:val="00FF4830"/>
    <w:rsid w:val="00FF65F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CFC877"/>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DB42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B01C8"/>
    <w:rPr>
      <w:color w:val="0000FF" w:themeColor="hyperlink"/>
      <w:u w:val="single"/>
    </w:rPr>
  </w:style>
  <w:style w:type="character" w:customStyle="1" w:styleId="atenuated">
    <w:name w:val="atenuated"/>
    <w:basedOn w:val="DefaultParagraphFont"/>
    <w:rsid w:val="00173F64"/>
  </w:style>
  <w:style w:type="table" w:customStyle="1" w:styleId="GridTable4-Accent11">
    <w:name w:val="Grid Table 4 - Accent 11"/>
    <w:basedOn w:val="TableNormal"/>
    <w:uiPriority w:val="49"/>
    <w:rsid w:val="00B777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rsid w:val="008E1DF0"/>
    <w:pPr>
      <w:ind w:left="720"/>
      <w:contextualSpacing/>
    </w:pPr>
  </w:style>
  <w:style w:type="character" w:styleId="FollowedHyperlink">
    <w:name w:val="FollowedHyperlink"/>
    <w:basedOn w:val="DefaultParagraphFont"/>
    <w:uiPriority w:val="99"/>
    <w:semiHidden/>
    <w:unhideWhenUsed/>
    <w:rsid w:val="00B4054A"/>
    <w:rPr>
      <w:color w:val="800080" w:themeColor="followedHyperlink"/>
      <w:u w:val="single"/>
    </w:rPr>
  </w:style>
  <w:style w:type="paragraph" w:styleId="FootnoteText">
    <w:name w:val="footnote text"/>
    <w:basedOn w:val="Normal"/>
    <w:link w:val="FootnoteTextChar"/>
    <w:uiPriority w:val="99"/>
    <w:unhideWhenUsed/>
    <w:rsid w:val="00692707"/>
    <w:rPr>
      <w:sz w:val="20"/>
      <w:szCs w:val="20"/>
    </w:rPr>
  </w:style>
  <w:style w:type="character" w:customStyle="1" w:styleId="FootnoteTextChar">
    <w:name w:val="Footnote Text Char"/>
    <w:basedOn w:val="DefaultParagraphFont"/>
    <w:link w:val="FootnoteText"/>
    <w:uiPriority w:val="99"/>
    <w:rsid w:val="00692707"/>
    <w:rPr>
      <w:rFonts w:ascii="Times New Roman" w:eastAsia="Times New Roman" w:hAnsi="Times New Roman"/>
    </w:rPr>
  </w:style>
  <w:style w:type="character" w:styleId="FootnoteReference">
    <w:name w:val="footnote reference"/>
    <w:basedOn w:val="DefaultParagraphFont"/>
    <w:uiPriority w:val="99"/>
    <w:semiHidden/>
    <w:unhideWhenUsed/>
    <w:rsid w:val="00692707"/>
    <w:rPr>
      <w:vertAlign w:val="superscript"/>
    </w:rPr>
  </w:style>
  <w:style w:type="character" w:customStyle="1" w:styleId="Heading1Char">
    <w:name w:val="Heading 1 Char"/>
    <w:basedOn w:val="DefaultParagraphFont"/>
    <w:link w:val="Heading1"/>
    <w:uiPriority w:val="9"/>
    <w:rsid w:val="00DB42C3"/>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D81384"/>
    <w:rPr>
      <w:sz w:val="20"/>
      <w:szCs w:val="20"/>
    </w:rPr>
  </w:style>
  <w:style w:type="character" w:customStyle="1" w:styleId="EndnoteTextChar">
    <w:name w:val="Endnote Text Char"/>
    <w:basedOn w:val="DefaultParagraphFont"/>
    <w:link w:val="EndnoteText"/>
    <w:uiPriority w:val="99"/>
    <w:semiHidden/>
    <w:rsid w:val="00D81384"/>
    <w:rPr>
      <w:rFonts w:ascii="Times New Roman" w:eastAsia="Times New Roman" w:hAnsi="Times New Roman"/>
    </w:rPr>
  </w:style>
  <w:style w:type="character" w:styleId="EndnoteReference">
    <w:name w:val="endnote reference"/>
    <w:basedOn w:val="DefaultParagraphFont"/>
    <w:uiPriority w:val="99"/>
    <w:semiHidden/>
    <w:unhideWhenUsed/>
    <w:rsid w:val="00D81384"/>
    <w:rPr>
      <w:vertAlign w:val="superscript"/>
    </w:rPr>
  </w:style>
  <w:style w:type="character" w:styleId="CommentReference">
    <w:name w:val="annotation reference"/>
    <w:basedOn w:val="DefaultParagraphFont"/>
    <w:uiPriority w:val="99"/>
    <w:semiHidden/>
    <w:unhideWhenUsed/>
    <w:rsid w:val="00E3104E"/>
    <w:rPr>
      <w:sz w:val="16"/>
      <w:szCs w:val="16"/>
    </w:rPr>
  </w:style>
  <w:style w:type="paragraph" w:styleId="CommentText">
    <w:name w:val="annotation text"/>
    <w:basedOn w:val="Normal"/>
    <w:link w:val="CommentTextChar"/>
    <w:uiPriority w:val="99"/>
    <w:semiHidden/>
    <w:unhideWhenUsed/>
    <w:rsid w:val="00E3104E"/>
    <w:rPr>
      <w:sz w:val="20"/>
      <w:szCs w:val="20"/>
    </w:rPr>
  </w:style>
  <w:style w:type="character" w:customStyle="1" w:styleId="CommentTextChar">
    <w:name w:val="Comment Text Char"/>
    <w:basedOn w:val="DefaultParagraphFont"/>
    <w:link w:val="CommentText"/>
    <w:uiPriority w:val="99"/>
    <w:semiHidden/>
    <w:rsid w:val="00E310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104E"/>
    <w:rPr>
      <w:b/>
      <w:bCs/>
    </w:rPr>
  </w:style>
  <w:style w:type="character" w:customStyle="1" w:styleId="CommentSubjectChar">
    <w:name w:val="Comment Subject Char"/>
    <w:basedOn w:val="CommentTextChar"/>
    <w:link w:val="CommentSubject"/>
    <w:uiPriority w:val="99"/>
    <w:semiHidden/>
    <w:rsid w:val="00E3104E"/>
    <w:rPr>
      <w:rFonts w:ascii="Times New Roman" w:eastAsia="Times New Roman" w:hAnsi="Times New Roman"/>
      <w:b/>
      <w:bCs/>
    </w:rPr>
  </w:style>
  <w:style w:type="paragraph" w:styleId="Revision">
    <w:name w:val="Revision"/>
    <w:hidden/>
    <w:uiPriority w:val="99"/>
    <w:semiHidden/>
    <w:rsid w:val="00E3104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810">
      <w:bodyDiv w:val="1"/>
      <w:marLeft w:val="0"/>
      <w:marRight w:val="0"/>
      <w:marTop w:val="0"/>
      <w:marBottom w:val="0"/>
      <w:divBdr>
        <w:top w:val="none" w:sz="0" w:space="0" w:color="auto"/>
        <w:left w:val="none" w:sz="0" w:space="0" w:color="auto"/>
        <w:bottom w:val="none" w:sz="0" w:space="0" w:color="auto"/>
        <w:right w:val="none" w:sz="0" w:space="0" w:color="auto"/>
      </w:divBdr>
    </w:div>
    <w:div w:id="161630323">
      <w:bodyDiv w:val="1"/>
      <w:marLeft w:val="0"/>
      <w:marRight w:val="0"/>
      <w:marTop w:val="0"/>
      <w:marBottom w:val="0"/>
      <w:divBdr>
        <w:top w:val="none" w:sz="0" w:space="0" w:color="auto"/>
        <w:left w:val="none" w:sz="0" w:space="0" w:color="auto"/>
        <w:bottom w:val="none" w:sz="0" w:space="0" w:color="auto"/>
        <w:right w:val="none" w:sz="0" w:space="0" w:color="auto"/>
      </w:divBdr>
    </w:div>
    <w:div w:id="246765845">
      <w:bodyDiv w:val="1"/>
      <w:marLeft w:val="0"/>
      <w:marRight w:val="0"/>
      <w:marTop w:val="0"/>
      <w:marBottom w:val="0"/>
      <w:divBdr>
        <w:top w:val="none" w:sz="0" w:space="0" w:color="auto"/>
        <w:left w:val="none" w:sz="0" w:space="0" w:color="auto"/>
        <w:bottom w:val="none" w:sz="0" w:space="0" w:color="auto"/>
        <w:right w:val="none" w:sz="0" w:space="0" w:color="auto"/>
      </w:divBdr>
    </w:div>
    <w:div w:id="467209823">
      <w:bodyDiv w:val="1"/>
      <w:marLeft w:val="0"/>
      <w:marRight w:val="0"/>
      <w:marTop w:val="0"/>
      <w:marBottom w:val="0"/>
      <w:divBdr>
        <w:top w:val="none" w:sz="0" w:space="0" w:color="auto"/>
        <w:left w:val="none" w:sz="0" w:space="0" w:color="auto"/>
        <w:bottom w:val="none" w:sz="0" w:space="0" w:color="auto"/>
        <w:right w:val="none" w:sz="0" w:space="0" w:color="auto"/>
      </w:divBdr>
    </w:div>
    <w:div w:id="489444330">
      <w:bodyDiv w:val="1"/>
      <w:marLeft w:val="0"/>
      <w:marRight w:val="0"/>
      <w:marTop w:val="0"/>
      <w:marBottom w:val="0"/>
      <w:divBdr>
        <w:top w:val="none" w:sz="0" w:space="0" w:color="auto"/>
        <w:left w:val="none" w:sz="0" w:space="0" w:color="auto"/>
        <w:bottom w:val="none" w:sz="0" w:space="0" w:color="auto"/>
        <w:right w:val="none" w:sz="0" w:space="0" w:color="auto"/>
      </w:divBdr>
    </w:div>
    <w:div w:id="501512542">
      <w:bodyDiv w:val="1"/>
      <w:marLeft w:val="0"/>
      <w:marRight w:val="0"/>
      <w:marTop w:val="0"/>
      <w:marBottom w:val="0"/>
      <w:divBdr>
        <w:top w:val="none" w:sz="0" w:space="0" w:color="auto"/>
        <w:left w:val="none" w:sz="0" w:space="0" w:color="auto"/>
        <w:bottom w:val="none" w:sz="0" w:space="0" w:color="auto"/>
        <w:right w:val="none" w:sz="0" w:space="0" w:color="auto"/>
      </w:divBdr>
    </w:div>
    <w:div w:id="565802461">
      <w:bodyDiv w:val="1"/>
      <w:marLeft w:val="0"/>
      <w:marRight w:val="0"/>
      <w:marTop w:val="0"/>
      <w:marBottom w:val="0"/>
      <w:divBdr>
        <w:top w:val="none" w:sz="0" w:space="0" w:color="auto"/>
        <w:left w:val="none" w:sz="0" w:space="0" w:color="auto"/>
        <w:bottom w:val="none" w:sz="0" w:space="0" w:color="auto"/>
        <w:right w:val="none" w:sz="0" w:space="0" w:color="auto"/>
      </w:divBdr>
    </w:div>
    <w:div w:id="77398491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5998165">
      <w:bodyDiv w:val="1"/>
      <w:marLeft w:val="0"/>
      <w:marRight w:val="0"/>
      <w:marTop w:val="0"/>
      <w:marBottom w:val="0"/>
      <w:divBdr>
        <w:top w:val="none" w:sz="0" w:space="0" w:color="auto"/>
        <w:left w:val="none" w:sz="0" w:space="0" w:color="auto"/>
        <w:bottom w:val="none" w:sz="0" w:space="0" w:color="auto"/>
        <w:right w:val="none" w:sz="0" w:space="0" w:color="auto"/>
      </w:divBdr>
    </w:div>
    <w:div w:id="144021973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1146637">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_WG-5-FR.docx" TargetMode="External"/><Relationship Id="rId13" Type="http://schemas.openxmlformats.org/officeDocument/2006/relationships/hyperlink" Target="https://ich.unesco.org/fr/Decisions/7.GA/10" TargetMode="External"/><Relationship Id="rId18" Type="http://schemas.openxmlformats.org/officeDocument/2006/relationships/hyperlink" Target="https://ich.unesco.org/fr/Decisions/12.COM/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fr/Resolutions/7.GA/10" TargetMode="External"/><Relationship Id="rId7" Type="http://schemas.openxmlformats.org/officeDocument/2006/relationships/endnotes" Target="endnotes.xml"/><Relationship Id="rId12" Type="http://schemas.openxmlformats.org/officeDocument/2006/relationships/hyperlink" Target="https://ich.unesco.org/fr/Decisions/7.GA/9" TargetMode="External"/><Relationship Id="rId17" Type="http://schemas.openxmlformats.org/officeDocument/2006/relationships/hyperlink" Target="https://ich.unesco.org/doc/src/ITH-18-13.COM-9-FR.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fr/Decisions/12.COM/14" TargetMode="External"/><Relationship Id="rId20" Type="http://schemas.openxmlformats.org/officeDocument/2006/relationships/hyperlink" Target="https://ich.unesco.org/fr/Decisions/12.COM/1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fr/Decisions/11.COM/6" TargetMode="External"/><Relationship Id="rId23" Type="http://schemas.openxmlformats.org/officeDocument/2006/relationships/header" Target="header2.xml"/><Relationship Id="rId10" Type="http://schemas.openxmlformats.org/officeDocument/2006/relationships/hyperlink" Target="https://ich.unesco.org/fr/Decisions/12.COM/10" TargetMode="External"/><Relationship Id="rId19" Type="http://schemas.openxmlformats.org/officeDocument/2006/relationships/hyperlink" Target="https://ich.unesco.org/doc/src/ITH-17-12.COM-10-FR.docx" TargetMode="External"/><Relationship Id="rId4" Type="http://schemas.openxmlformats.org/officeDocument/2006/relationships/settings" Target="settings.xml"/><Relationship Id="rId9" Type="http://schemas.openxmlformats.org/officeDocument/2006/relationships/hyperlink" Target="https://ich.unesco.org/doc/src/ITH-17-12.COM_WG-7-FR.doc" TargetMode="External"/><Relationship Id="rId14" Type="http://schemas.openxmlformats.org/officeDocument/2006/relationships/hyperlink" Target="https://ich.unesco.org/fr/Decisions/12.COM/1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17/261751f.pdf" TargetMode="External"/><Relationship Id="rId1" Type="http://schemas.openxmlformats.org/officeDocument/2006/relationships/hyperlink" Target="http://unesdoc.unesco.org/images/0026/002617/261751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41EC-42E9-4D7B-84B4-8939A640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63</TotalTime>
  <Pages>8</Pages>
  <Words>3350</Words>
  <Characters>19100</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Scepi, Giovanni</dc:creator>
  <cp:lastModifiedBy>Shin, Eunkyung</cp:lastModifiedBy>
  <cp:revision>12</cp:revision>
  <cp:lastPrinted>2018-10-03T09:30:00Z</cp:lastPrinted>
  <dcterms:created xsi:type="dcterms:W3CDTF">2018-10-08T09:01:00Z</dcterms:created>
  <dcterms:modified xsi:type="dcterms:W3CDTF">2018-10-26T14:43:00Z</dcterms:modified>
</cp:coreProperties>
</file>