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A8A44" w14:textId="77777777" w:rsidR="00EC6F8D" w:rsidRPr="00293C60" w:rsidRDefault="00EC6F8D" w:rsidP="001B3B6E">
      <w:pPr>
        <w:spacing w:before="1440"/>
        <w:jc w:val="center"/>
        <w:rPr>
          <w:rFonts w:ascii="Arial" w:hAnsi="Arial" w:cs="Arial"/>
          <w:b/>
          <w:sz w:val="22"/>
          <w:szCs w:val="22"/>
        </w:rPr>
      </w:pPr>
      <w:r>
        <w:rPr>
          <w:rFonts w:ascii="Arial" w:hAnsi="Arial"/>
          <w:b/>
          <w:sz w:val="22"/>
          <w:szCs w:val="22"/>
        </w:rPr>
        <w:t>CONVENTION POUR LA SA</w:t>
      </w:r>
      <w:bookmarkStart w:id="0" w:name="_GoBack"/>
      <w:bookmarkEnd w:id="0"/>
      <w:r>
        <w:rPr>
          <w:rFonts w:ascii="Arial" w:hAnsi="Arial"/>
          <w:b/>
          <w:sz w:val="22"/>
          <w:szCs w:val="22"/>
        </w:rPr>
        <w:t>UVEGARDE</w:t>
      </w:r>
      <w:r w:rsidR="001B3B6E" w:rsidRPr="001B3B6E">
        <w:rPr>
          <w:rFonts w:ascii="Arial" w:hAnsi="Arial"/>
          <w:b/>
          <w:sz w:val="22"/>
          <w:szCs w:val="22"/>
        </w:rPr>
        <w:t xml:space="preserve"> </w:t>
      </w:r>
      <w:r w:rsidR="001B3B6E">
        <w:rPr>
          <w:rFonts w:ascii="Arial" w:hAnsi="Arial"/>
          <w:b/>
          <w:sz w:val="22"/>
          <w:szCs w:val="22"/>
        </w:rPr>
        <w:t>DU</w:t>
      </w:r>
      <w:r>
        <w:rPr>
          <w:rFonts w:ascii="Arial" w:hAnsi="Arial"/>
          <w:b/>
          <w:sz w:val="22"/>
          <w:szCs w:val="22"/>
        </w:rPr>
        <w:br/>
        <w:t>PATRIMOINE CULTUREL IMMATÉRIEL</w:t>
      </w:r>
    </w:p>
    <w:p w14:paraId="2E47433F" w14:textId="77777777" w:rsidR="00EC6F8D" w:rsidRPr="00293C60" w:rsidRDefault="00EC6F8D" w:rsidP="00F007F5">
      <w:pPr>
        <w:spacing w:before="1200"/>
        <w:jc w:val="center"/>
        <w:rPr>
          <w:rFonts w:ascii="Arial" w:hAnsi="Arial" w:cs="Arial"/>
          <w:b/>
          <w:sz w:val="22"/>
          <w:szCs w:val="22"/>
        </w:rPr>
      </w:pPr>
      <w:r>
        <w:rPr>
          <w:rFonts w:ascii="Arial" w:hAnsi="Arial"/>
          <w:b/>
          <w:sz w:val="22"/>
          <w:szCs w:val="22"/>
        </w:rPr>
        <w:t xml:space="preserve">COMITÉ INTERGOUVERNEMENTAL DE </w:t>
      </w:r>
      <w:r w:rsidR="00F007F5">
        <w:rPr>
          <w:rFonts w:ascii="Arial" w:hAnsi="Arial"/>
          <w:b/>
          <w:sz w:val="22"/>
          <w:szCs w:val="22"/>
        </w:rPr>
        <w:t>SAUVEGARDE</w:t>
      </w:r>
      <w:r>
        <w:rPr>
          <w:rFonts w:ascii="Arial" w:hAnsi="Arial"/>
          <w:b/>
          <w:sz w:val="22"/>
          <w:szCs w:val="22"/>
        </w:rPr>
        <w:br/>
        <w:t>DU PATRIMOINE CULTUREL IMMATÉRIEL</w:t>
      </w:r>
    </w:p>
    <w:p w14:paraId="7EEB9AFB" w14:textId="77777777" w:rsidR="00EC6F8D" w:rsidRPr="00293C60" w:rsidRDefault="00C7433F" w:rsidP="001D14FE">
      <w:pPr>
        <w:spacing w:before="840"/>
        <w:jc w:val="center"/>
        <w:rPr>
          <w:rFonts w:ascii="Arial" w:hAnsi="Arial" w:cs="Arial"/>
          <w:b/>
          <w:sz w:val="22"/>
          <w:szCs w:val="22"/>
        </w:rPr>
      </w:pPr>
      <w:r>
        <w:rPr>
          <w:rFonts w:ascii="Arial" w:hAnsi="Arial"/>
          <w:b/>
          <w:sz w:val="22"/>
          <w:szCs w:val="22"/>
        </w:rPr>
        <w:t>Treizième session</w:t>
      </w:r>
    </w:p>
    <w:p w14:paraId="2FA579E2" w14:textId="77777777" w:rsidR="009D5428" w:rsidRPr="00337CEB" w:rsidRDefault="001D14FE" w:rsidP="001D14FE">
      <w:pPr>
        <w:jc w:val="center"/>
        <w:rPr>
          <w:rFonts w:ascii="Arial" w:eastAsiaTheme="minorEastAsia" w:hAnsi="Arial" w:cs="Arial"/>
          <w:b/>
          <w:sz w:val="22"/>
          <w:szCs w:val="22"/>
        </w:rPr>
      </w:pPr>
      <w:r>
        <w:rPr>
          <w:rFonts w:ascii="Arial" w:hAnsi="Arial"/>
          <w:b/>
          <w:sz w:val="22"/>
          <w:szCs w:val="22"/>
        </w:rPr>
        <w:t>Port</w:t>
      </w:r>
      <w:r w:rsidR="001B3B6E">
        <w:rPr>
          <w:rFonts w:ascii="Arial" w:hAnsi="Arial"/>
          <w:b/>
          <w:sz w:val="22"/>
          <w:szCs w:val="22"/>
        </w:rPr>
        <w:t>-</w:t>
      </w:r>
      <w:r>
        <w:rPr>
          <w:rFonts w:ascii="Arial" w:hAnsi="Arial"/>
          <w:b/>
          <w:sz w:val="22"/>
          <w:szCs w:val="22"/>
        </w:rPr>
        <w:t>Louis, République de Maurice</w:t>
      </w:r>
    </w:p>
    <w:p w14:paraId="7A419FC0" w14:textId="77777777" w:rsidR="00EC6F8D" w:rsidRPr="00337CEB" w:rsidRDefault="001D14FE" w:rsidP="00F007F5">
      <w:pPr>
        <w:jc w:val="center"/>
        <w:rPr>
          <w:rFonts w:ascii="Arial" w:eastAsiaTheme="minorEastAsia" w:hAnsi="Arial" w:cs="Arial"/>
          <w:b/>
          <w:sz w:val="22"/>
          <w:szCs w:val="22"/>
        </w:rPr>
      </w:pPr>
      <w:r>
        <w:rPr>
          <w:rFonts w:ascii="Arial" w:hAnsi="Arial"/>
          <w:b/>
          <w:sz w:val="22"/>
          <w:szCs w:val="22"/>
        </w:rPr>
        <w:t>26 novembre au 1</w:t>
      </w:r>
      <w:r w:rsidRPr="00F007F5">
        <w:rPr>
          <w:rFonts w:ascii="Arial" w:hAnsi="Arial"/>
          <w:b/>
          <w:sz w:val="22"/>
          <w:szCs w:val="22"/>
          <w:vertAlign w:val="superscript"/>
        </w:rPr>
        <w:t>er</w:t>
      </w:r>
      <w:r w:rsidR="00F007F5">
        <w:rPr>
          <w:rFonts w:ascii="Arial" w:hAnsi="Arial"/>
          <w:b/>
          <w:sz w:val="22"/>
          <w:szCs w:val="22"/>
        </w:rPr>
        <w:t xml:space="preserve"> </w:t>
      </w:r>
      <w:r>
        <w:rPr>
          <w:rFonts w:ascii="Arial" w:hAnsi="Arial"/>
          <w:b/>
          <w:sz w:val="22"/>
          <w:szCs w:val="22"/>
        </w:rPr>
        <w:t>décembre 2018</w:t>
      </w:r>
    </w:p>
    <w:p w14:paraId="429A81FC" w14:textId="77777777" w:rsidR="00EC6F8D" w:rsidRPr="00293C60" w:rsidRDefault="00EC6F8D">
      <w:pPr>
        <w:pStyle w:val="Sansinterligne2"/>
        <w:spacing w:before="1200"/>
        <w:jc w:val="center"/>
        <w:rPr>
          <w:rFonts w:ascii="Arial" w:hAnsi="Arial" w:cs="Arial"/>
          <w:b/>
          <w:sz w:val="22"/>
          <w:szCs w:val="22"/>
        </w:rPr>
      </w:pPr>
      <w:r>
        <w:rPr>
          <w:rFonts w:ascii="Arial" w:hAnsi="Arial"/>
          <w:b/>
          <w:sz w:val="22"/>
          <w:szCs w:val="22"/>
          <w:u w:val="single"/>
        </w:rPr>
        <w:t>Point 6 de l</w:t>
      </w:r>
      <w:r w:rsidR="00F007F5">
        <w:rPr>
          <w:rFonts w:ascii="Arial" w:hAnsi="Arial"/>
          <w:b/>
          <w:sz w:val="22"/>
          <w:szCs w:val="22"/>
          <w:u w:val="single"/>
        </w:rPr>
        <w:t>’</w:t>
      </w:r>
      <w:r>
        <w:rPr>
          <w:rFonts w:ascii="Arial" w:hAnsi="Arial"/>
          <w:b/>
          <w:sz w:val="22"/>
          <w:szCs w:val="22"/>
          <w:u w:val="single"/>
        </w:rPr>
        <w:t>ordre du jour provisoire</w:t>
      </w:r>
      <w:r w:rsidRPr="002A5D3D">
        <w:rPr>
          <w:rFonts w:ascii="Arial" w:hAnsi="Arial"/>
          <w:b/>
          <w:sz w:val="22"/>
          <w:szCs w:val="22"/>
        </w:rPr>
        <w:t> </w:t>
      </w:r>
      <w:r>
        <w:rPr>
          <w:rFonts w:ascii="Arial" w:hAnsi="Arial"/>
          <w:b/>
          <w:sz w:val="22"/>
          <w:szCs w:val="22"/>
        </w:rPr>
        <w:t>:</w:t>
      </w:r>
    </w:p>
    <w:p w14:paraId="3C79767D" w14:textId="77777777" w:rsidR="00EC6F8D" w:rsidRPr="00293C60" w:rsidRDefault="00DD6DA1" w:rsidP="00EC6F8D">
      <w:pPr>
        <w:pStyle w:val="Sansinterligne2"/>
        <w:spacing w:after="1200"/>
        <w:jc w:val="center"/>
        <w:rPr>
          <w:rFonts w:ascii="Arial" w:hAnsi="Arial" w:cs="Arial"/>
          <w:b/>
          <w:sz w:val="22"/>
          <w:szCs w:val="22"/>
        </w:rPr>
      </w:pPr>
      <w:r>
        <w:rPr>
          <w:rFonts w:ascii="Arial" w:hAnsi="Arial"/>
          <w:b/>
          <w:sz w:val="22"/>
          <w:szCs w:val="22"/>
        </w:rPr>
        <w:t xml:space="preserve">Fonds du patrimoine culturel immatériel : </w:t>
      </w:r>
      <w:r>
        <w:rPr>
          <w:rFonts w:ascii="Arial" w:hAnsi="Arial"/>
          <w:b/>
          <w:sz w:val="22"/>
          <w:szCs w:val="22"/>
        </w:rPr>
        <w:br/>
        <w:t>contributions volontaires supplémentaires et autres questions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0077AF" w14:paraId="4CF34F55" w14:textId="77777777" w:rsidTr="00EC6F8D">
        <w:trPr>
          <w:jc w:val="center"/>
        </w:trPr>
        <w:tc>
          <w:tcPr>
            <w:tcW w:w="5670" w:type="dxa"/>
            <w:vAlign w:val="center"/>
          </w:tcPr>
          <w:p w14:paraId="1AC3805D" w14:textId="77777777" w:rsidR="00EC6F8D" w:rsidRPr="00293C60" w:rsidRDefault="00EC6F8D" w:rsidP="00CA56BB">
            <w:pPr>
              <w:pStyle w:val="Sansinterligne1"/>
              <w:spacing w:before="200" w:after="200"/>
              <w:jc w:val="center"/>
              <w:rPr>
                <w:rFonts w:ascii="Arial" w:hAnsi="Arial" w:cs="Arial"/>
                <w:b/>
                <w:sz w:val="22"/>
                <w:szCs w:val="22"/>
              </w:rPr>
            </w:pPr>
            <w:r>
              <w:rPr>
                <w:rFonts w:ascii="Arial" w:hAnsi="Arial"/>
                <w:b/>
                <w:sz w:val="22"/>
                <w:szCs w:val="22"/>
              </w:rPr>
              <w:t>Résumé</w:t>
            </w:r>
          </w:p>
          <w:p w14:paraId="5920394A" w14:textId="77777777" w:rsidR="00125CCC" w:rsidRDefault="00125CCC" w:rsidP="002A5D3D">
            <w:pPr>
              <w:pStyle w:val="Sansinterligne2"/>
              <w:spacing w:before="200" w:after="200"/>
              <w:jc w:val="both"/>
              <w:rPr>
                <w:rFonts w:ascii="Arial" w:hAnsi="Arial" w:cs="Arial"/>
                <w:sz w:val="22"/>
                <w:szCs w:val="22"/>
              </w:rPr>
            </w:pPr>
            <w:r>
              <w:rPr>
                <w:rFonts w:ascii="Arial" w:hAnsi="Arial"/>
                <w:sz w:val="22"/>
                <w:szCs w:val="22"/>
              </w:rPr>
              <w:t>Conformément à l</w:t>
            </w:r>
            <w:r w:rsidR="00F007F5">
              <w:rPr>
                <w:rFonts w:ascii="Arial" w:hAnsi="Arial"/>
                <w:sz w:val="22"/>
                <w:szCs w:val="22"/>
              </w:rPr>
              <w:t>’</w:t>
            </w:r>
            <w:r>
              <w:rPr>
                <w:rFonts w:ascii="Arial" w:hAnsi="Arial"/>
                <w:sz w:val="22"/>
                <w:szCs w:val="22"/>
              </w:rPr>
              <w:t>article 25.5 de la Convention, le Comité peut accepter des contributions au Fonds du patrimoine culturel immatériel à des fins spécifiques se rapportant à des projets déterminés, pourvu que ces projets soient approuvés par le Comité. Le présent document (1) rend compte de ces contributions depuis la douzième session du Comité</w:t>
            </w:r>
            <w:r w:rsidR="00B55945">
              <w:rPr>
                <w:rFonts w:ascii="Arial" w:hAnsi="Arial"/>
                <w:sz w:val="22"/>
                <w:szCs w:val="22"/>
              </w:rPr>
              <w:t xml:space="preserve"> jusqu’à septembre 2018</w:t>
            </w:r>
            <w:r>
              <w:rPr>
                <w:rFonts w:ascii="Arial" w:hAnsi="Arial"/>
                <w:sz w:val="22"/>
                <w:szCs w:val="22"/>
              </w:rPr>
              <w:t>, et (2) porte à l</w:t>
            </w:r>
            <w:r w:rsidR="00F007F5">
              <w:rPr>
                <w:rFonts w:ascii="Arial" w:hAnsi="Arial"/>
                <w:sz w:val="22"/>
                <w:szCs w:val="22"/>
              </w:rPr>
              <w:t>’</w:t>
            </w:r>
            <w:r>
              <w:rPr>
                <w:rFonts w:ascii="Arial" w:hAnsi="Arial"/>
                <w:sz w:val="22"/>
                <w:szCs w:val="22"/>
              </w:rPr>
              <w:t>attention du Comité la décision prise par le Conseil exécutif lors de sa 204e session concernant la révision des taux de gestion.</w:t>
            </w:r>
          </w:p>
          <w:p w14:paraId="4442ACFD" w14:textId="77777777" w:rsidR="00EC6F8D" w:rsidRPr="00293C60" w:rsidRDefault="00EC6F8D" w:rsidP="00125CCC">
            <w:pPr>
              <w:pStyle w:val="Sansinterligne2"/>
              <w:spacing w:before="200" w:after="20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paragraphe 14</w:t>
            </w:r>
          </w:p>
        </w:tc>
      </w:tr>
    </w:tbl>
    <w:p w14:paraId="2D375F86" w14:textId="77777777" w:rsidR="002A5D3D" w:rsidRDefault="002A5D3D">
      <w:pPr>
        <w:rPr>
          <w:rFonts w:ascii="Arial" w:hAnsi="Arial" w:cs="Arial"/>
          <w:snapToGrid w:val="0"/>
          <w:sz w:val="22"/>
          <w:szCs w:val="22"/>
          <w:lang w:eastAsia="en-US"/>
        </w:rPr>
      </w:pPr>
      <w:r>
        <w:br w:type="page"/>
      </w:r>
    </w:p>
    <w:p w14:paraId="405863E2" w14:textId="77777777" w:rsidR="0057439C" w:rsidRPr="00606F5E" w:rsidRDefault="001704D6" w:rsidP="002A5D3D">
      <w:pPr>
        <w:pStyle w:val="COMPara"/>
        <w:numPr>
          <w:ilvl w:val="0"/>
          <w:numId w:val="15"/>
        </w:numPr>
        <w:ind w:left="567" w:hanging="567"/>
        <w:jc w:val="both"/>
      </w:pPr>
      <w:r>
        <w:lastRenderedPageBreak/>
        <w:t>Le chapitre VI de la Convention concernant le Fonds pour la sauvegarde du patrimoine culturel immatériel (ci-après dénommé « le Fonds du patrimoine culturel immatériel ») stipule que les États parties peuvent souhaiter verser des contributions volontaires supplémentaires (article 27) en sus de leurs contributions obligatoires (article 26). Conformément à l</w:t>
      </w:r>
      <w:r w:rsidR="00F007F5">
        <w:t>’</w:t>
      </w:r>
      <w:r>
        <w:t>article 25.5, ces contributions peuvent se rapporter à des projets déterminés, « pourvu que ces projets soient approuvés par le Comité ».</w:t>
      </w:r>
    </w:p>
    <w:p w14:paraId="19FCA487" w14:textId="0F317FF9" w:rsidR="00F16B8A" w:rsidRPr="009D27F5" w:rsidRDefault="00683C87" w:rsidP="00F929F8">
      <w:pPr>
        <w:pStyle w:val="COMPara"/>
        <w:ind w:left="567" w:hanging="567"/>
        <w:jc w:val="both"/>
      </w:pPr>
      <w:r>
        <w:t>Lors de sa douzième session, le Comité a approuvé deux nouvelles priorités de financement pour la période 2018-2021 : (1) « le renforcement des capacités de sauvegarde du patrimoine culturel immatériel et de contribution au développement durable » pour poursuivre les efforts visant à étendre la portée et à améliorer l</w:t>
      </w:r>
      <w:r w:rsidR="00F007F5">
        <w:t>’</w:t>
      </w:r>
      <w:r>
        <w:t xml:space="preserve">efficacité de la stratégie </w:t>
      </w:r>
      <w:r w:rsidR="00A92531">
        <w:t xml:space="preserve">globale </w:t>
      </w:r>
      <w:r>
        <w:t>de renforcement des capacités, et (2) « la sauvegarde du patrimoine culturel immatériel dans l</w:t>
      </w:r>
      <w:r w:rsidR="00F007F5">
        <w:t>’</w:t>
      </w:r>
      <w:r>
        <w:t>éducation formelle et non formelle », nouvelle initiative établie en réponse à l</w:t>
      </w:r>
      <w:r w:rsidR="00F007F5">
        <w:t>’</w:t>
      </w:r>
      <w:r>
        <w:t>article 2 de la Convention qui définit la transmission par l</w:t>
      </w:r>
      <w:r w:rsidR="00F007F5">
        <w:t>’</w:t>
      </w:r>
      <w:r>
        <w:t>éducation formelle et non formelle comme mesure de sauvegarde (</w:t>
      </w:r>
      <w:hyperlink r:id="rId8" w:history="1">
        <w:r w:rsidR="00D921DC">
          <w:rPr>
            <w:rStyle w:val="Hyperlink"/>
          </w:rPr>
          <w:t>d</w:t>
        </w:r>
        <w:r>
          <w:rPr>
            <w:rStyle w:val="Hyperlink"/>
          </w:rPr>
          <w:t>écision 12.COM</w:t>
        </w:r>
        <w:r w:rsidR="00F929F8">
          <w:rPr>
            <w:rStyle w:val="Hyperlink"/>
          </w:rPr>
          <w:t> </w:t>
        </w:r>
        <w:r>
          <w:rPr>
            <w:rStyle w:val="Hyperlink"/>
          </w:rPr>
          <w:t>6</w:t>
        </w:r>
      </w:hyperlink>
      <w:r>
        <w:t>). Ces priorités ont été établies dans le respect de la nouvelle approche budgétaire intégrée de l</w:t>
      </w:r>
      <w:r w:rsidR="00F007F5">
        <w:t>’</w:t>
      </w:r>
      <w:r>
        <w:t>UNESCO, présentée dans le Programme et budget (C/5), qui définit les besoins globaux de financement de l</w:t>
      </w:r>
      <w:r w:rsidR="00F007F5">
        <w:t>’</w:t>
      </w:r>
      <w:r>
        <w:t>organisation, permettant aux États membres et aux donateurs d</w:t>
      </w:r>
      <w:r w:rsidR="00F007F5">
        <w:t>’</w:t>
      </w:r>
      <w:r>
        <w:t>avoir une idée holistique et réaliste des problèmes de financement de chaque programme et des objectifs de mobilisation de ressources pour un exercice donné. Les objectifs de mobilisation de ressources fixés pour les deux nouvelles priorités de financement étaient respectivement de 5 millions de dollars des États-Unis et 2 millions de dollars des États-Unis pour la période 2018-2021.</w:t>
      </w:r>
    </w:p>
    <w:p w14:paraId="0C409734" w14:textId="77777777" w:rsidR="00E4525D" w:rsidRPr="00A26D48" w:rsidRDefault="00154EB6">
      <w:pPr>
        <w:pStyle w:val="COMPara"/>
        <w:ind w:left="567" w:hanging="567"/>
        <w:jc w:val="both"/>
      </w:pPr>
      <w:r>
        <w:t>Au cours de la présente session, il est demandé au Secrétariat de rendre compte de l</w:t>
      </w:r>
      <w:r w:rsidR="00F007F5">
        <w:t>’</w:t>
      </w:r>
      <w:r>
        <w:t>avancement de la mise en œuvre de toute contribution volontaire supplémentaire reçue depuis la douzième session. Le Comité a par ailleurs pris note (</w:t>
      </w:r>
      <w:hyperlink r:id="rId9" w:history="1">
        <w:r w:rsidR="00D921DC">
          <w:rPr>
            <w:rStyle w:val="Hyperlink"/>
          </w:rPr>
          <w:t>d</w:t>
        </w:r>
        <w:r>
          <w:rPr>
            <w:rStyle w:val="Hyperlink"/>
          </w:rPr>
          <w:t>écision 7.COM 20.1</w:t>
        </w:r>
      </w:hyperlink>
      <w:r w:rsidRPr="00F929F8">
        <w:rPr>
          <w:rStyle w:val="Hyperlink"/>
          <w:color w:val="auto"/>
          <w:u w:val="none"/>
        </w:rPr>
        <w:t>)</w:t>
      </w:r>
      <w:r>
        <w:t xml:space="preserve"> que des États utilisent des formes différentes de soutien, financier ou en nature, à la Convention de 2003, et pas seulement les contributions volontaires supplémentaires au Fonds du patrimoine culturel immatériel. Il a donc demandé au Secrétariat de faire rapport à chaque session du Comité sur toutes les formes de contributions reçues depuis sa session précédente. L</w:t>
      </w:r>
      <w:r w:rsidR="00F007F5">
        <w:t>’</w:t>
      </w:r>
      <w:r>
        <w:t>annexe I du présent document recense donc les contributions reçues depuis la douzième session du Comité</w:t>
      </w:r>
      <w:r w:rsidR="000D5FA9">
        <w:t xml:space="preserve"> jusqu’à septembre 2018</w:t>
      </w:r>
      <w:r>
        <w:t xml:space="preserve"> pour soutenir la Convention de 2003.</w:t>
      </w:r>
    </w:p>
    <w:p w14:paraId="24F5564C" w14:textId="77777777" w:rsidR="005532A5" w:rsidRPr="005E220A" w:rsidRDefault="005532A5" w:rsidP="00D57B41">
      <w:pPr>
        <w:pStyle w:val="Paragraph"/>
        <w:numPr>
          <w:ilvl w:val="0"/>
          <w:numId w:val="0"/>
        </w:numPr>
        <w:spacing w:before="240" w:after="120"/>
        <w:ind w:left="567"/>
        <w:rPr>
          <w:b/>
        </w:rPr>
      </w:pPr>
      <w:r>
        <w:rPr>
          <w:b/>
        </w:rPr>
        <w:t>État des lieux</w:t>
      </w:r>
    </w:p>
    <w:p w14:paraId="72FC621F" w14:textId="77777777" w:rsidR="002671A0" w:rsidRDefault="003F6728" w:rsidP="00F10A0B">
      <w:pPr>
        <w:pStyle w:val="COMPara"/>
        <w:ind w:left="567" w:hanging="567"/>
        <w:jc w:val="both"/>
      </w:pPr>
      <w:r>
        <w:t xml:space="preserve">Si des contributions ont été versées au sous-fonds pour le renforcement des ressources humaines du Secrétariat entre la dernière réunion du Comité en décembre 2017 et </w:t>
      </w:r>
      <w:r w:rsidR="000D5FA9">
        <w:t>septembre</w:t>
      </w:r>
      <w:r>
        <w:t> 2018, aucune contribution n</w:t>
      </w:r>
      <w:r w:rsidR="00F007F5">
        <w:t>’</w:t>
      </w:r>
      <w:r>
        <w:t xml:space="preserve">a été reçue pour </w:t>
      </w:r>
      <w:r w:rsidR="008D7C9E">
        <w:t>d</w:t>
      </w:r>
      <w:r>
        <w:t>es activités spécifiques. Cette situation confirme la tendance à la baisse des contributions volontaires supplémentaires observée ces dernières années. Cette section offre un aperçu de l</w:t>
      </w:r>
      <w:r w:rsidR="00F007F5">
        <w:t>’</w:t>
      </w:r>
      <w:r>
        <w:t>évolution générale des financements reçus au profit de la Convention de 2003.</w:t>
      </w:r>
    </w:p>
    <w:p w14:paraId="574D2829" w14:textId="77777777" w:rsidR="00FF0F3C" w:rsidRPr="005D7E75" w:rsidRDefault="005D7E75" w:rsidP="002F0781">
      <w:pPr>
        <w:pStyle w:val="COMPara"/>
        <w:ind w:left="567" w:hanging="567"/>
        <w:jc w:val="both"/>
      </w:pPr>
      <w:r>
        <w:rPr>
          <w:b/>
        </w:rPr>
        <w:t>Programme de renforcement des capacités</w:t>
      </w:r>
      <w:r w:rsidRPr="00F929F8">
        <w:rPr>
          <w:bCs/>
        </w:rPr>
        <w:t xml:space="preserve"> : </w:t>
      </w:r>
      <w:r>
        <w:t xml:space="preserve">comme le montre la figure 1, le soutien au programme </w:t>
      </w:r>
      <w:r w:rsidR="00A92531">
        <w:t xml:space="preserve">global </w:t>
      </w:r>
      <w:r>
        <w:t>de renforcement des capacités est marqué par un déclin général depuis 2012. Cela s</w:t>
      </w:r>
      <w:r w:rsidR="00F007F5">
        <w:t>’</w:t>
      </w:r>
      <w:r>
        <w:t>explique principalement par la réduction drastique des contributions spécifiques versées dans ce but. Lors du précédent exercice (38</w:t>
      </w:r>
      <w:r w:rsidR="00D921DC">
        <w:t> </w:t>
      </w:r>
      <w:r>
        <w:t>C/5), seules deux nouvelles contributions ont été reçues, et aucune contribution n</w:t>
      </w:r>
      <w:r w:rsidR="00F007F5">
        <w:t>’</w:t>
      </w:r>
      <w:r>
        <w:t>a été proposée pour l</w:t>
      </w:r>
      <w:r w:rsidR="00F007F5">
        <w:t>’</w:t>
      </w:r>
      <w:r>
        <w:t>exercice actuel – que l</w:t>
      </w:r>
      <w:r w:rsidR="00F007F5">
        <w:t>’</w:t>
      </w:r>
      <w:r>
        <w:t>objectif soit de soutenir les projets en cours ou d</w:t>
      </w:r>
      <w:r w:rsidR="00F007F5">
        <w:t>’</w:t>
      </w:r>
      <w:r>
        <w:t>en entreprendre de nouveaux. Les contributions versées au cours du dernier exercice l</w:t>
      </w:r>
      <w:r w:rsidR="00F007F5">
        <w:t>’</w:t>
      </w:r>
      <w:r>
        <w:t>ont été par le même État partie (les Pays-Bas) pour financer le projet « Renforcement des capacités du Suriname et des îles néerlandaises des Caraïbes pour la mise en œuvre de la Convention de 2003 ». Cette situation remet en question l</w:t>
      </w:r>
      <w:r w:rsidR="00F007F5">
        <w:t>’</w:t>
      </w:r>
      <w:r>
        <w:t xml:space="preserve">objectif quadriennal de 5 millions de dollars des États-Unis pour la période 2018-2021 (voir la </w:t>
      </w:r>
      <w:hyperlink r:id="rId10" w:history="1">
        <w:r w:rsidR="00F73A34" w:rsidRPr="007F4EEE">
          <w:rPr>
            <w:rStyle w:val="Hyperlink"/>
          </w:rPr>
          <w:t>d</w:t>
        </w:r>
        <w:r w:rsidRPr="007F4EEE">
          <w:rPr>
            <w:rStyle w:val="Hyperlink"/>
          </w:rPr>
          <w:t>écision 12.COM 6</w:t>
        </w:r>
      </w:hyperlink>
      <w:r>
        <w:t>), qui a été défini conformément au nouveau cadre budgétaire intégré de l</w:t>
      </w:r>
      <w:r w:rsidR="00F007F5">
        <w:t>’</w:t>
      </w:r>
      <w:r>
        <w:t>UNESCO, et les possibilités d</w:t>
      </w:r>
      <w:r w:rsidR="00F007F5">
        <w:t>’</w:t>
      </w:r>
      <w:r>
        <w:t xml:space="preserve">atteindre les objectifs du programme </w:t>
      </w:r>
      <w:r w:rsidR="00A92531">
        <w:t xml:space="preserve">global </w:t>
      </w:r>
      <w:r>
        <w:t>de renforcement des capacités.</w:t>
      </w:r>
    </w:p>
    <w:p w14:paraId="460A921F" w14:textId="1E5D77DA" w:rsidR="00C64E73" w:rsidRDefault="00C64E73" w:rsidP="002A5D3D">
      <w:pPr>
        <w:pStyle w:val="COMPara"/>
        <w:numPr>
          <w:ilvl w:val="0"/>
          <w:numId w:val="9"/>
        </w:numPr>
        <w:ind w:left="567" w:hanging="567"/>
        <w:jc w:val="both"/>
        <w:rPr>
          <w:color w:val="000000"/>
        </w:rPr>
      </w:pPr>
      <w:r>
        <w:t xml:space="preserve">La forte baisse des contributions spécifiques en faveur du programme </w:t>
      </w:r>
      <w:r w:rsidR="00A92531">
        <w:t xml:space="preserve">global </w:t>
      </w:r>
      <w:r>
        <w:t xml:space="preserve">de renforcement des capacités a été en partie compensée par un soutien accru à travers les accords de fonds-en-dépôt. Les contributions versées dans le cadre de ces accords au cours de </w:t>
      </w:r>
      <w:r>
        <w:lastRenderedPageBreak/>
        <w:t>l</w:t>
      </w:r>
      <w:r w:rsidR="00F007F5">
        <w:t>’</w:t>
      </w:r>
      <w:r>
        <w:t>exercice 38</w:t>
      </w:r>
      <w:r w:rsidR="00D921DC">
        <w:t> </w:t>
      </w:r>
      <w:r>
        <w:t>C/5 s</w:t>
      </w:r>
      <w:r w:rsidR="00F007F5">
        <w:t>’</w:t>
      </w:r>
      <w:r>
        <w:t>élevaient à 2 150 297 dollars des États-Unis grâce aux généreuses contributions de la Belgique (Flandre), de l</w:t>
      </w:r>
      <w:r w:rsidR="00F007F5">
        <w:t>’</w:t>
      </w:r>
      <w:r>
        <w:t>Iris Foundation, de la Suisse et de</w:t>
      </w:r>
      <w:r>
        <w:rPr>
          <w:color w:val="000000"/>
        </w:rPr>
        <w:t xml:space="preserve"> l</w:t>
      </w:r>
      <w:r w:rsidR="00F007F5">
        <w:rPr>
          <w:color w:val="000000"/>
        </w:rPr>
        <w:t>’</w:t>
      </w:r>
      <w:r>
        <w:rPr>
          <w:color w:val="000000"/>
        </w:rPr>
        <w:t>Autorité d</w:t>
      </w:r>
      <w:r w:rsidR="00F007F5">
        <w:rPr>
          <w:color w:val="000000"/>
        </w:rPr>
        <w:t>’</w:t>
      </w:r>
      <w:r>
        <w:rPr>
          <w:color w:val="000000"/>
        </w:rPr>
        <w:t>Abou Dhabi pour le Tourisme et la Culture (Émirats arabes unis). Depuis le début de l</w:t>
      </w:r>
      <w:r w:rsidR="00F007F5">
        <w:rPr>
          <w:color w:val="000000"/>
        </w:rPr>
        <w:t>’</w:t>
      </w:r>
      <w:r>
        <w:rPr>
          <w:color w:val="000000"/>
        </w:rPr>
        <w:t xml:space="preserve">exercice en cours, </w:t>
      </w:r>
      <w:r w:rsidR="00F73A34">
        <w:rPr>
          <w:color w:val="000000"/>
        </w:rPr>
        <w:t xml:space="preserve">deux </w:t>
      </w:r>
      <w:r>
        <w:rPr>
          <w:color w:val="000000"/>
        </w:rPr>
        <w:t>nouveau</w:t>
      </w:r>
      <w:r w:rsidR="00F73A34">
        <w:rPr>
          <w:color w:val="000000"/>
        </w:rPr>
        <w:t>x</w:t>
      </w:r>
      <w:r>
        <w:rPr>
          <w:color w:val="000000"/>
        </w:rPr>
        <w:t xml:space="preserve"> projet</w:t>
      </w:r>
      <w:r w:rsidR="00F73A34">
        <w:rPr>
          <w:color w:val="000000"/>
        </w:rPr>
        <w:t>s</w:t>
      </w:r>
      <w:r>
        <w:rPr>
          <w:color w:val="000000"/>
        </w:rPr>
        <w:t xml:space="preserve"> </w:t>
      </w:r>
      <w:r w:rsidR="00F73A34">
        <w:rPr>
          <w:color w:val="000000"/>
        </w:rPr>
        <w:t xml:space="preserve">ont </w:t>
      </w:r>
      <w:r>
        <w:rPr>
          <w:color w:val="000000"/>
        </w:rPr>
        <w:t xml:space="preserve">été entrepris ; </w:t>
      </w:r>
      <w:r w:rsidR="00F73A34">
        <w:rPr>
          <w:color w:val="000000"/>
        </w:rPr>
        <w:t xml:space="preserve">un </w:t>
      </w:r>
      <w:r>
        <w:rPr>
          <w:color w:val="000000"/>
        </w:rPr>
        <w:t xml:space="preserve">financé par </w:t>
      </w:r>
      <w:r>
        <w:t xml:space="preserve">la Belgique (Flandre) </w:t>
      </w:r>
      <w:r w:rsidR="00F73A34">
        <w:t>pour</w:t>
      </w:r>
      <w:r>
        <w:t xml:space="preserve"> poursuivre le projet destiné à</w:t>
      </w:r>
      <w:r>
        <w:rPr>
          <w:color w:val="000000"/>
        </w:rPr>
        <w:t xml:space="preserve"> renforcer la coopération sous-régionale et les capacités nationales dans sept pays du Sud de l</w:t>
      </w:r>
      <w:r w:rsidR="00F007F5">
        <w:rPr>
          <w:color w:val="000000"/>
        </w:rPr>
        <w:t>’</w:t>
      </w:r>
      <w:r>
        <w:rPr>
          <w:color w:val="000000"/>
        </w:rPr>
        <w:t>Afrique</w:t>
      </w:r>
      <w:r w:rsidR="00F73A34">
        <w:rPr>
          <w:color w:val="000000"/>
        </w:rPr>
        <w:t>, et l’autre financé par le Japon</w:t>
      </w:r>
      <w:r>
        <w:rPr>
          <w:color w:val="000000"/>
        </w:rPr>
        <w:t xml:space="preserve"> pour </w:t>
      </w:r>
      <w:r w:rsidR="00F73A34">
        <w:rPr>
          <w:color w:val="000000"/>
        </w:rPr>
        <w:t xml:space="preserve">renforcer les capacités nationales en vue d’une </w:t>
      </w:r>
      <w:r>
        <w:rPr>
          <w:color w:val="000000"/>
        </w:rPr>
        <w:t>mise en œuvre</w:t>
      </w:r>
      <w:r w:rsidR="00F73A34">
        <w:rPr>
          <w:color w:val="000000"/>
        </w:rPr>
        <w:t xml:space="preserve"> efficace</w:t>
      </w:r>
      <w:r>
        <w:rPr>
          <w:color w:val="000000"/>
        </w:rPr>
        <w:t xml:space="preserve"> de la Convention de 2003</w:t>
      </w:r>
      <w:r w:rsidR="00F73A34">
        <w:rPr>
          <w:color w:val="000000"/>
        </w:rPr>
        <w:t xml:space="preserve"> au Liban</w:t>
      </w:r>
      <w:r>
        <w:rPr>
          <w:color w:val="000000"/>
        </w:rPr>
        <w:t>.</w:t>
      </w:r>
    </w:p>
    <w:p w14:paraId="1E949850" w14:textId="185E6727" w:rsidR="0099724F" w:rsidRDefault="009E41E5" w:rsidP="00D57B41">
      <w:pPr>
        <w:pStyle w:val="COMPara"/>
        <w:numPr>
          <w:ilvl w:val="0"/>
          <w:numId w:val="0"/>
        </w:numPr>
        <w:spacing w:before="240"/>
        <w:ind w:left="567"/>
        <w:jc w:val="both"/>
      </w:pPr>
      <w:r>
        <w:rPr>
          <w:noProof/>
          <w:lang w:val="en-US" w:eastAsia="ko-KR"/>
        </w:rPr>
        <w:drawing>
          <wp:inline distT="0" distB="0" distL="0" distR="0" wp14:anchorId="7A935C79" wp14:editId="1DA85C6A">
            <wp:extent cx="5760000" cy="3310257"/>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3310257"/>
                    </a:xfrm>
                    <a:prstGeom prst="rect">
                      <a:avLst/>
                    </a:prstGeom>
                    <a:noFill/>
                  </pic:spPr>
                </pic:pic>
              </a:graphicData>
            </a:graphic>
          </wp:inline>
        </w:drawing>
      </w:r>
    </w:p>
    <w:p w14:paraId="45A401DD" w14:textId="77777777" w:rsidR="0099724F" w:rsidRPr="00D57B41" w:rsidRDefault="00996BB4" w:rsidP="00D57B41">
      <w:pPr>
        <w:pStyle w:val="Paragraph"/>
        <w:numPr>
          <w:ilvl w:val="0"/>
          <w:numId w:val="0"/>
        </w:numPr>
        <w:tabs>
          <w:tab w:val="clear" w:pos="567"/>
        </w:tabs>
        <w:ind w:left="567"/>
        <w:rPr>
          <w:sz w:val="18"/>
          <w:szCs w:val="18"/>
        </w:rPr>
      </w:pPr>
      <w:r>
        <w:rPr>
          <w:b/>
          <w:sz w:val="18"/>
          <w:szCs w:val="18"/>
        </w:rPr>
        <w:t xml:space="preserve">Figure </w:t>
      </w:r>
      <w:r w:rsidRPr="0027119A">
        <w:rPr>
          <w:b/>
          <w:i/>
          <w:sz w:val="18"/>
          <w:szCs w:val="18"/>
        </w:rPr>
        <w:fldChar w:fldCharType="begin"/>
      </w:r>
      <w:r w:rsidRPr="0027119A">
        <w:rPr>
          <w:b/>
          <w:sz w:val="18"/>
          <w:szCs w:val="18"/>
        </w:rPr>
        <w:instrText xml:space="preserve"> SEQ Figure \* ARABIC </w:instrText>
      </w:r>
      <w:r w:rsidRPr="0027119A">
        <w:rPr>
          <w:b/>
          <w:i/>
          <w:sz w:val="18"/>
          <w:szCs w:val="18"/>
        </w:rPr>
        <w:fldChar w:fldCharType="separate"/>
      </w:r>
      <w:r w:rsidR="007B3DF3">
        <w:rPr>
          <w:b/>
          <w:noProof/>
          <w:sz w:val="18"/>
          <w:szCs w:val="18"/>
        </w:rPr>
        <w:t>1</w:t>
      </w:r>
      <w:r w:rsidRPr="0027119A">
        <w:rPr>
          <w:b/>
          <w:i/>
          <w:sz w:val="18"/>
          <w:szCs w:val="18"/>
        </w:rPr>
        <w:fldChar w:fldCharType="end"/>
      </w:r>
      <w:r>
        <w:rPr>
          <w:sz w:val="18"/>
          <w:szCs w:val="18"/>
        </w:rPr>
        <w:t xml:space="preserve"> : Évolution des ressources affectées au soutien du programme </w:t>
      </w:r>
      <w:r w:rsidR="00A92531">
        <w:rPr>
          <w:sz w:val="18"/>
          <w:szCs w:val="18"/>
        </w:rPr>
        <w:t xml:space="preserve">global </w:t>
      </w:r>
      <w:r>
        <w:rPr>
          <w:sz w:val="18"/>
          <w:szCs w:val="18"/>
        </w:rPr>
        <w:t>de renforcement des capacités</w:t>
      </w:r>
    </w:p>
    <w:p w14:paraId="3FE85C18" w14:textId="77777777" w:rsidR="007C3BB5" w:rsidRPr="007C3BB5" w:rsidRDefault="007C3BB5" w:rsidP="00F10A0B">
      <w:pPr>
        <w:pStyle w:val="COMPara"/>
        <w:ind w:left="567" w:hanging="567"/>
        <w:jc w:val="both"/>
      </w:pPr>
      <w:r>
        <w:rPr>
          <w:b/>
        </w:rPr>
        <w:t>Le patrimoine culturel immatériel dans l</w:t>
      </w:r>
      <w:r w:rsidR="00F007F5">
        <w:rPr>
          <w:b/>
        </w:rPr>
        <w:t>’</w:t>
      </w:r>
      <w:r>
        <w:rPr>
          <w:b/>
        </w:rPr>
        <w:t>éducation </w:t>
      </w:r>
      <w:r>
        <w:t>: aucune contribution n</w:t>
      </w:r>
      <w:r w:rsidR="00F007F5">
        <w:t>’</w:t>
      </w:r>
      <w:r>
        <w:t>a été reçue pour soutenir la nouvelle priorité de financement précédemment mentionnée, « Sauvegarde du patrimoine culturel immatériel dans l</w:t>
      </w:r>
      <w:r w:rsidR="00F007F5">
        <w:t>’</w:t>
      </w:r>
      <w:r>
        <w:t xml:space="preserve">éducation formelle et non formelle », depuis son approbation par le Comité en décembre 2017. </w:t>
      </w:r>
      <w:r w:rsidR="008B793A">
        <w:t>Grâce au</w:t>
      </w:r>
      <w:r w:rsidR="00333D07">
        <w:t>x</w:t>
      </w:r>
      <w:r w:rsidR="008B793A">
        <w:t xml:space="preserve"> pla</w:t>
      </w:r>
      <w:r w:rsidR="008853DF">
        <w:t>i</w:t>
      </w:r>
      <w:r w:rsidR="008B793A">
        <w:t>doyers</w:t>
      </w:r>
      <w:r>
        <w:t xml:space="preserve"> du Secrétariat, certains donateurs ont manifesté un intérêt informel, qui ne s</w:t>
      </w:r>
      <w:r w:rsidR="00F007F5">
        <w:t>’</w:t>
      </w:r>
      <w:r>
        <w:t>est pas encore traduit par des contributions volontaires. À cet égard, le Secrétariat intensifiera ses efforts pour mobiliser des ressources.</w:t>
      </w:r>
    </w:p>
    <w:p w14:paraId="5021D245" w14:textId="77777777" w:rsidR="00AE4634" w:rsidRPr="009D6530" w:rsidRDefault="00483B4C" w:rsidP="00AE4634">
      <w:pPr>
        <w:pStyle w:val="COMPara"/>
        <w:ind w:left="567" w:hanging="567"/>
        <w:jc w:val="both"/>
      </w:pPr>
      <w:r>
        <w:t>Le Comité souhaitera peut-être encourager les donateurs à soutenir la réalisation des objectifs définis dans les deux priorités de financement, dans le cadre de contributions volontaires affectées au Fonds. Les contributions affectées permettent au Comité de mieux coordonner la coopération internationale, conformément à l</w:t>
      </w:r>
      <w:r w:rsidR="00F007F5">
        <w:t>’</w:t>
      </w:r>
      <w:r>
        <w:t>article 19 de la Convention, tout en permettant au Secrétariat d</w:t>
      </w:r>
      <w:r w:rsidR="00F007F5">
        <w:t>’</w:t>
      </w:r>
      <w:r>
        <w:t>adapter rapidement les ressources aux besoins et de proposer efficacement ses services. Elles offrent également une bonne visibilité aux donateurs. Dans le cadre du principe de gestion axée sur les résultats de l</w:t>
      </w:r>
      <w:r w:rsidR="00F007F5">
        <w:t>’</w:t>
      </w:r>
      <w:r>
        <w:t>Organisation, le Secrétariat doit fournir des résultats concrets à l</w:t>
      </w:r>
      <w:r w:rsidR="00F007F5">
        <w:t>’</w:t>
      </w:r>
      <w:r>
        <w:t>Assemblée générale et aux donateurs.</w:t>
      </w:r>
    </w:p>
    <w:p w14:paraId="3C8C7AD5" w14:textId="6A10B998" w:rsidR="00AE4634" w:rsidRDefault="007C3BB5" w:rsidP="00AE4634">
      <w:pPr>
        <w:pStyle w:val="COMPara"/>
        <w:ind w:left="567" w:hanging="567"/>
        <w:jc w:val="both"/>
      </w:pPr>
      <w:r>
        <w:rPr>
          <w:b/>
        </w:rPr>
        <w:t>Renforcement des ressources humaines du Secrétariat </w:t>
      </w:r>
      <w:r>
        <w:t>: reconnaissant que la capacité du Secrétariat à fournir des services de qualité aux États membres dépend largement de ses ressources humaines, de nombreux donateurs différents ont apporté leur soutien en utilisant plusieurs mécanismes au fil des ans. La figure 2 montre néanmoins une baisse de tous les types de contributions en lien avec le renforcement des capacités humaines du Secrétariat au cours du dernier exercice. Le soutien au sous-fonds du Fonds du patrimoine culturel immatériel, en particulier, est encore une fois loin d</w:t>
      </w:r>
      <w:r w:rsidR="00F007F5">
        <w:t>’</w:t>
      </w:r>
      <w:r>
        <w:t>atteindre l</w:t>
      </w:r>
      <w:r w:rsidR="00F007F5">
        <w:t>’</w:t>
      </w:r>
      <w:r>
        <w:t>objectif annuel de 1,1 million de dollars des États-Unis fixé par l</w:t>
      </w:r>
      <w:r w:rsidR="00F007F5">
        <w:t>’</w:t>
      </w:r>
      <w:r>
        <w:t>Assemblée générale (</w:t>
      </w:r>
      <w:hyperlink r:id="rId12" w:history="1">
        <w:r w:rsidR="00124224">
          <w:rPr>
            <w:rStyle w:val="Hyperlink"/>
          </w:rPr>
          <w:t>r</w:t>
        </w:r>
        <w:r>
          <w:rPr>
            <w:rStyle w:val="Hyperlink"/>
          </w:rPr>
          <w:t>ésolution 3.GA 9</w:t>
        </w:r>
      </w:hyperlink>
      <w:r>
        <w:t xml:space="preserve">). Plus précisément, il </w:t>
      </w:r>
      <w:r>
        <w:lastRenderedPageBreak/>
        <w:t>convient de noter que les contributions volontaires versées au sous-fonds pendant l</w:t>
      </w:r>
      <w:r w:rsidR="00F007F5">
        <w:t>’</w:t>
      </w:r>
      <w:r>
        <w:t>exercice 38</w:t>
      </w:r>
      <w:r w:rsidR="00D921DC">
        <w:t> </w:t>
      </w:r>
      <w:r>
        <w:t>C/5 n</w:t>
      </w:r>
      <w:r w:rsidR="00F007F5">
        <w:t>’</w:t>
      </w:r>
      <w:r>
        <w:t>ont atteint qu</w:t>
      </w:r>
      <w:r w:rsidR="00F007F5">
        <w:t>’</w:t>
      </w:r>
      <w:r>
        <w:t xml:space="preserve">un quart du montant reçu au cours du précédent exercice. Le montant total des contributions volontaires versées au sous-fonds depuis la dernière session du Comité – qui proviennent des gouvernements de la Finlande, </w:t>
      </w:r>
      <w:r w:rsidR="00A02CFD">
        <w:t xml:space="preserve">du Kazakhstan, </w:t>
      </w:r>
      <w:r>
        <w:t>du Monténégro et de la République populaire de Chine – s</w:t>
      </w:r>
      <w:r w:rsidR="00F007F5">
        <w:t>’</w:t>
      </w:r>
      <w:r>
        <w:t xml:space="preserve">élève à </w:t>
      </w:r>
      <w:r w:rsidR="00A02CFD" w:rsidRPr="00F929F8">
        <w:t>64 917</w:t>
      </w:r>
      <w:r w:rsidRPr="00F929F8">
        <w:t> dollars des États-Unis</w:t>
      </w:r>
      <w:r>
        <w:t>.</w:t>
      </w:r>
    </w:p>
    <w:p w14:paraId="74510814" w14:textId="0373270A" w:rsidR="0099724F" w:rsidRDefault="009E41E5" w:rsidP="00D57B41">
      <w:pPr>
        <w:pStyle w:val="COMPara"/>
        <w:numPr>
          <w:ilvl w:val="0"/>
          <w:numId w:val="0"/>
        </w:numPr>
        <w:spacing w:before="240"/>
        <w:ind w:left="567"/>
        <w:jc w:val="both"/>
      </w:pPr>
      <w:r>
        <w:rPr>
          <w:noProof/>
          <w:lang w:val="en-US" w:eastAsia="ko-KR"/>
        </w:rPr>
        <w:drawing>
          <wp:inline distT="0" distB="0" distL="0" distR="0" wp14:anchorId="77E523C9" wp14:editId="3AFD7E9A">
            <wp:extent cx="5760000" cy="365799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3657993"/>
                    </a:xfrm>
                    <a:prstGeom prst="rect">
                      <a:avLst/>
                    </a:prstGeom>
                    <a:noFill/>
                  </pic:spPr>
                </pic:pic>
              </a:graphicData>
            </a:graphic>
          </wp:inline>
        </w:drawing>
      </w:r>
    </w:p>
    <w:p w14:paraId="63AFEB23" w14:textId="77777777" w:rsidR="0099724F" w:rsidRPr="008368F2" w:rsidRDefault="008368F2" w:rsidP="00D57B41">
      <w:pPr>
        <w:pStyle w:val="COMPara"/>
        <w:numPr>
          <w:ilvl w:val="0"/>
          <w:numId w:val="0"/>
        </w:numPr>
        <w:spacing w:after="240"/>
        <w:ind w:left="567"/>
        <w:jc w:val="both"/>
        <w:rPr>
          <w:sz w:val="18"/>
          <w:szCs w:val="18"/>
        </w:rPr>
      </w:pPr>
      <w:r>
        <w:rPr>
          <w:b/>
          <w:sz w:val="18"/>
          <w:szCs w:val="18"/>
        </w:rPr>
        <w:t xml:space="preserve">Figure </w:t>
      </w:r>
      <w:r w:rsidRPr="008368F2">
        <w:rPr>
          <w:b/>
          <w:i/>
          <w:sz w:val="18"/>
          <w:szCs w:val="18"/>
        </w:rPr>
        <w:fldChar w:fldCharType="begin"/>
      </w:r>
      <w:r w:rsidRPr="008368F2">
        <w:rPr>
          <w:b/>
          <w:sz w:val="18"/>
          <w:szCs w:val="18"/>
        </w:rPr>
        <w:instrText xml:space="preserve"> SEQ Figure \* ARABIC </w:instrText>
      </w:r>
      <w:r w:rsidRPr="008368F2">
        <w:rPr>
          <w:b/>
          <w:i/>
          <w:sz w:val="18"/>
          <w:szCs w:val="18"/>
        </w:rPr>
        <w:fldChar w:fldCharType="separate"/>
      </w:r>
      <w:r w:rsidR="007B3DF3">
        <w:rPr>
          <w:b/>
          <w:noProof/>
          <w:sz w:val="18"/>
          <w:szCs w:val="18"/>
        </w:rPr>
        <w:t>2</w:t>
      </w:r>
      <w:r w:rsidRPr="008368F2">
        <w:rPr>
          <w:b/>
          <w:i/>
          <w:sz w:val="18"/>
          <w:szCs w:val="18"/>
        </w:rPr>
        <w:fldChar w:fldCharType="end"/>
      </w:r>
      <w:r>
        <w:rPr>
          <w:sz w:val="18"/>
          <w:szCs w:val="18"/>
        </w:rPr>
        <w:t> : Évolution des moyens affectés aux ressources humaines</w:t>
      </w:r>
    </w:p>
    <w:p w14:paraId="6EDC91ED" w14:textId="77777777" w:rsidR="0017280F" w:rsidRDefault="0017280F" w:rsidP="002A5D3D">
      <w:pPr>
        <w:pStyle w:val="COMPara"/>
        <w:ind w:left="567" w:hanging="567"/>
        <w:jc w:val="both"/>
      </w:pPr>
      <w:r w:rsidRPr="002A5D3D">
        <w:rPr>
          <w:b/>
        </w:rPr>
        <w:t>Réflexion sur les mécanismes d</w:t>
      </w:r>
      <w:r w:rsidR="00203505">
        <w:rPr>
          <w:b/>
        </w:rPr>
        <w:t>’inscription sur l</w:t>
      </w:r>
      <w:r w:rsidRPr="002A5D3D">
        <w:rPr>
          <w:b/>
        </w:rPr>
        <w:t>es listes</w:t>
      </w:r>
      <w:r>
        <w:t> :</w:t>
      </w:r>
      <w:r w:rsidR="00384A74">
        <w:t xml:space="preserve"> </w:t>
      </w:r>
      <w:r w:rsidR="00CA4186">
        <w:t>o</w:t>
      </w:r>
      <w:r>
        <w:t>utre les fonds déjà reçus, le gouvernement du Japon a exprimé le souhait de soutenir la Convention en contribuant au Fonds du patrimoine culturel immatériel. À sa douzième session, le Comité a reconnu la nécessité d’organiser un groupe de travail intergouvernemental à composition non limitée « </w:t>
      </w:r>
      <w:r w:rsidRPr="0017280F">
        <w:t>afin de réfléchir, entre autres, aux procédures pour le retrait d’un élément d’une liste et le transfert d’une liste à l’autre, à la nature et aux objectifs des listes et du registre établis par la Convention et à la pertinence des différents critères pour chacun de ces mécanismes</w:t>
      </w:r>
      <w:r>
        <w:t> » (</w:t>
      </w:r>
      <w:hyperlink r:id="rId14" w:history="1">
        <w:r w:rsidR="00F929F8">
          <w:rPr>
            <w:rStyle w:val="Hyperlink"/>
          </w:rPr>
          <w:t>décision </w:t>
        </w:r>
        <w:r w:rsidRPr="0017280F">
          <w:rPr>
            <w:rStyle w:val="Hyperlink"/>
          </w:rPr>
          <w:t>12.COM 14</w:t>
        </w:r>
      </w:hyperlink>
      <w:r>
        <w:t xml:space="preserve">). </w:t>
      </w:r>
      <w:r w:rsidR="00935446">
        <w:t>Plus récemment</w:t>
      </w:r>
      <w:r>
        <w:t>, l’importance de mener à bien une telle réflexion a également été soulignée par la septième session de l’Assemblée générale des États parties à la Convention</w:t>
      </w:r>
      <w:r w:rsidR="00935446">
        <w:t>, qui s’est tenue en juin dernier</w:t>
      </w:r>
      <w:r>
        <w:t>.</w:t>
      </w:r>
      <w:r w:rsidR="001A113D">
        <w:t xml:space="preserve"> Le gouvernement du Japon souhaite verser une contribution à des fins spécifiques au Fonds pour soutenir ce processus de réflexion </w:t>
      </w:r>
      <w:r w:rsidR="00BD2066">
        <w:t>sur les</w:t>
      </w:r>
      <w:r w:rsidR="00935446">
        <w:t xml:space="preserve"> mécanismes</w:t>
      </w:r>
      <w:r w:rsidR="00BD2066">
        <w:t xml:space="preserve"> </w:t>
      </w:r>
      <w:r w:rsidR="00935446" w:rsidRPr="002A5D3D">
        <w:t>d’inscription sur les listes</w:t>
      </w:r>
      <w:r w:rsidR="00935446">
        <w:t> </w:t>
      </w:r>
      <w:r w:rsidR="00BD2066">
        <w:t xml:space="preserve">de la Convention de 2003 ; la contribution </w:t>
      </w:r>
      <w:r w:rsidR="00935446">
        <w:t>est destinée à être</w:t>
      </w:r>
      <w:r w:rsidR="00BD2066">
        <w:t xml:space="preserve"> utilisée, </w:t>
      </w:r>
      <w:r w:rsidR="00BD2066" w:rsidRPr="00BD2066">
        <w:t xml:space="preserve">tout d’abord, </w:t>
      </w:r>
      <w:r w:rsidR="00BD2066">
        <w:t xml:space="preserve">pour </w:t>
      </w:r>
      <w:r w:rsidR="00BD2066" w:rsidRPr="00BD2066">
        <w:t>organis</w:t>
      </w:r>
      <w:r w:rsidR="00BD2066">
        <w:t>er</w:t>
      </w:r>
      <w:r w:rsidR="00BD2066" w:rsidRPr="00BD2066">
        <w:t xml:space="preserve"> une réunion préliminaire d’experts </w:t>
      </w:r>
      <w:r w:rsidR="00BD2066">
        <w:t>en 2019 et aussi pour soutenir l’organisation d’une</w:t>
      </w:r>
      <w:r w:rsidR="00BD2066" w:rsidRPr="00BD2066">
        <w:t xml:space="preserve"> réunion du groupe de travail intergouvernemental à composition non limitée (provisoirement prévue pour 2021)</w:t>
      </w:r>
      <w:r w:rsidR="00BD2066">
        <w:t>. Par conséquent, il est demandé</w:t>
      </w:r>
      <w:r w:rsidR="00935446">
        <w:t>,</w:t>
      </w:r>
      <w:r w:rsidR="00BD2066">
        <w:t xml:space="preserve"> </w:t>
      </w:r>
      <w:r w:rsidR="00935446">
        <w:t>à la présente session</w:t>
      </w:r>
      <w:r w:rsidR="00913288">
        <w:t>,</w:t>
      </w:r>
      <w:r w:rsidR="00935446">
        <w:t xml:space="preserve"> </w:t>
      </w:r>
      <w:r w:rsidR="00BD2066">
        <w:t xml:space="preserve">au Comité d’approuver l’offre du Japon, telle que décrite dans la lettre du gouvernement du Japon </w:t>
      </w:r>
      <w:r w:rsidR="00935446">
        <w:t>jointe</w:t>
      </w:r>
      <w:r w:rsidR="00BD2066">
        <w:t xml:space="preserve"> en annexe II </w:t>
      </w:r>
      <w:r w:rsidR="00935446">
        <w:t>du présent</w:t>
      </w:r>
      <w:r w:rsidR="00BD2066">
        <w:t xml:space="preserve"> document.</w:t>
      </w:r>
    </w:p>
    <w:p w14:paraId="1ED726BD" w14:textId="77777777" w:rsidR="00811D13" w:rsidRDefault="0018530A" w:rsidP="00254129">
      <w:pPr>
        <w:pStyle w:val="COMPara"/>
        <w:ind w:left="567" w:hanging="567"/>
        <w:jc w:val="both"/>
      </w:pPr>
      <w:r>
        <w:t>Enfin, la mise en œuvre des activités spécifiques suivantes, financées par des contributions volontaires supplémentaires, s</w:t>
      </w:r>
      <w:r w:rsidR="00F007F5">
        <w:t>’</w:t>
      </w:r>
      <w:r>
        <w:t>est poursuivie pendant la période considérée :</w:t>
      </w:r>
    </w:p>
    <w:tbl>
      <w:tblPr>
        <w:tblStyle w:val="TableGrid"/>
        <w:tblW w:w="0" w:type="auto"/>
        <w:tblInd w:w="567" w:type="dxa"/>
        <w:tblLook w:val="04A0" w:firstRow="1" w:lastRow="0" w:firstColumn="1" w:lastColumn="0" w:noHBand="0" w:noVBand="1"/>
      </w:tblPr>
      <w:tblGrid>
        <w:gridCol w:w="4231"/>
        <w:gridCol w:w="2081"/>
        <w:gridCol w:w="2759"/>
      </w:tblGrid>
      <w:tr w:rsidR="00811D13" w14:paraId="4AFB8B03" w14:textId="77777777" w:rsidTr="00134CC7">
        <w:trPr>
          <w:trHeight w:val="293"/>
        </w:trPr>
        <w:tc>
          <w:tcPr>
            <w:tcW w:w="4394" w:type="dxa"/>
            <w:tcBorders>
              <w:left w:val="nil"/>
              <w:right w:val="nil"/>
            </w:tcBorders>
          </w:tcPr>
          <w:p w14:paraId="3EF5DB08" w14:textId="77777777" w:rsidR="00811D13" w:rsidRPr="00DB1099" w:rsidRDefault="00811D13" w:rsidP="00D57B41">
            <w:pPr>
              <w:pStyle w:val="COMPara"/>
              <w:numPr>
                <w:ilvl w:val="0"/>
                <w:numId w:val="0"/>
              </w:numPr>
              <w:spacing w:before="120"/>
              <w:jc w:val="center"/>
              <w:rPr>
                <w:b/>
              </w:rPr>
            </w:pPr>
            <w:r>
              <w:rPr>
                <w:b/>
              </w:rPr>
              <w:t>Projet</w:t>
            </w:r>
          </w:p>
        </w:tc>
        <w:tc>
          <w:tcPr>
            <w:tcW w:w="2126" w:type="dxa"/>
            <w:tcBorders>
              <w:left w:val="nil"/>
              <w:right w:val="nil"/>
            </w:tcBorders>
          </w:tcPr>
          <w:p w14:paraId="78E0887C" w14:textId="77777777" w:rsidR="00811D13" w:rsidRPr="00DB1099" w:rsidRDefault="007B3DF3" w:rsidP="00D57B41">
            <w:pPr>
              <w:pStyle w:val="COMPara"/>
              <w:numPr>
                <w:ilvl w:val="0"/>
                <w:numId w:val="0"/>
              </w:numPr>
              <w:spacing w:before="120"/>
              <w:jc w:val="center"/>
              <w:rPr>
                <w:b/>
              </w:rPr>
            </w:pPr>
            <w:r>
              <w:rPr>
                <w:b/>
              </w:rPr>
              <w:t>Donateurs</w:t>
            </w:r>
          </w:p>
        </w:tc>
        <w:tc>
          <w:tcPr>
            <w:tcW w:w="2835" w:type="dxa"/>
            <w:tcBorders>
              <w:left w:val="nil"/>
              <w:right w:val="nil"/>
            </w:tcBorders>
          </w:tcPr>
          <w:p w14:paraId="58E1014B" w14:textId="77777777" w:rsidR="00811D13" w:rsidRPr="00DB1099" w:rsidRDefault="00811D13" w:rsidP="00D57B41">
            <w:pPr>
              <w:pStyle w:val="COMPara"/>
              <w:numPr>
                <w:ilvl w:val="0"/>
                <w:numId w:val="0"/>
              </w:numPr>
              <w:spacing w:before="120"/>
              <w:jc w:val="center"/>
              <w:rPr>
                <w:b/>
              </w:rPr>
            </w:pPr>
            <w:r>
              <w:rPr>
                <w:b/>
              </w:rPr>
              <w:t>Dernier rapport publié</w:t>
            </w:r>
          </w:p>
        </w:tc>
      </w:tr>
      <w:tr w:rsidR="00811D13" w:rsidRPr="00811D13" w14:paraId="0D545D93" w14:textId="77777777" w:rsidTr="00D57B41">
        <w:tc>
          <w:tcPr>
            <w:tcW w:w="4394" w:type="dxa"/>
            <w:tcBorders>
              <w:left w:val="nil"/>
              <w:bottom w:val="nil"/>
              <w:right w:val="nil"/>
            </w:tcBorders>
          </w:tcPr>
          <w:p w14:paraId="2F10DA17" w14:textId="77777777" w:rsidR="00811D13" w:rsidRPr="007F4EEE" w:rsidRDefault="00811D13" w:rsidP="00134CC7">
            <w:pPr>
              <w:pStyle w:val="COMPara"/>
              <w:numPr>
                <w:ilvl w:val="0"/>
                <w:numId w:val="0"/>
              </w:numPr>
              <w:spacing w:before="60" w:after="60"/>
              <w:jc w:val="both"/>
            </w:pPr>
            <w:r w:rsidRPr="007F4EEE">
              <w:t>Amélioration des mécanismes de présentation des rapports périodiques dans le cadre de la Convention de 2003</w:t>
            </w:r>
          </w:p>
        </w:tc>
        <w:tc>
          <w:tcPr>
            <w:tcW w:w="2126" w:type="dxa"/>
            <w:tcBorders>
              <w:left w:val="nil"/>
              <w:bottom w:val="nil"/>
              <w:right w:val="nil"/>
            </w:tcBorders>
          </w:tcPr>
          <w:p w14:paraId="348B82B1" w14:textId="77777777" w:rsidR="00811D13" w:rsidRPr="007F4EEE" w:rsidRDefault="00811D13" w:rsidP="002A5D3D">
            <w:pPr>
              <w:pStyle w:val="COMPara"/>
              <w:numPr>
                <w:ilvl w:val="0"/>
                <w:numId w:val="0"/>
              </w:numPr>
              <w:spacing w:before="60" w:after="60"/>
            </w:pPr>
            <w:r w:rsidRPr="007F4EEE">
              <w:t>République de Corée</w:t>
            </w:r>
          </w:p>
        </w:tc>
        <w:tc>
          <w:tcPr>
            <w:tcW w:w="2835" w:type="dxa"/>
            <w:tcBorders>
              <w:left w:val="nil"/>
              <w:bottom w:val="nil"/>
              <w:right w:val="nil"/>
            </w:tcBorders>
          </w:tcPr>
          <w:p w14:paraId="67218E13" w14:textId="77777777" w:rsidR="00811D13" w:rsidRPr="007F4EEE" w:rsidRDefault="007F4EEE" w:rsidP="00134CC7">
            <w:pPr>
              <w:pStyle w:val="COMPara"/>
              <w:numPr>
                <w:ilvl w:val="0"/>
                <w:numId w:val="0"/>
              </w:numPr>
              <w:spacing w:before="60" w:after="60"/>
              <w:jc w:val="center"/>
            </w:pPr>
            <w:r w:rsidRPr="007F4EEE">
              <w:t>-</w:t>
            </w:r>
          </w:p>
        </w:tc>
      </w:tr>
      <w:tr w:rsidR="00811D13" w:rsidRPr="00811D13" w14:paraId="64D4E444" w14:textId="77777777" w:rsidTr="00D57B41">
        <w:tc>
          <w:tcPr>
            <w:tcW w:w="4394" w:type="dxa"/>
            <w:tcBorders>
              <w:top w:val="nil"/>
              <w:left w:val="nil"/>
              <w:bottom w:val="nil"/>
              <w:right w:val="nil"/>
            </w:tcBorders>
          </w:tcPr>
          <w:p w14:paraId="78968EBD" w14:textId="77777777" w:rsidR="00811D13" w:rsidRPr="007F4EEE" w:rsidRDefault="00811D13" w:rsidP="00134CC7">
            <w:pPr>
              <w:pStyle w:val="COMPara"/>
              <w:numPr>
                <w:ilvl w:val="0"/>
                <w:numId w:val="0"/>
              </w:numPr>
              <w:spacing w:before="60" w:after="60"/>
              <w:jc w:val="both"/>
            </w:pPr>
            <w:r w:rsidRPr="007F4EEE">
              <w:lastRenderedPageBreak/>
              <w:t>Renforcement des capacités de l</w:t>
            </w:r>
            <w:r w:rsidR="00F007F5" w:rsidRPr="007F4EEE">
              <w:t>’</w:t>
            </w:r>
            <w:r w:rsidRPr="007F4EEE">
              <w:t>Érythrée pour mettre en œuvre la Convention pour la sauvegarde du patrimoine culturel immatériel</w:t>
            </w:r>
          </w:p>
        </w:tc>
        <w:tc>
          <w:tcPr>
            <w:tcW w:w="2126" w:type="dxa"/>
            <w:tcBorders>
              <w:top w:val="nil"/>
              <w:left w:val="nil"/>
              <w:bottom w:val="nil"/>
              <w:right w:val="nil"/>
            </w:tcBorders>
          </w:tcPr>
          <w:p w14:paraId="42EEEDA8" w14:textId="77777777" w:rsidR="00811D13" w:rsidRPr="007F4EEE" w:rsidRDefault="00811D13" w:rsidP="00134CC7">
            <w:pPr>
              <w:pStyle w:val="COMPara"/>
              <w:numPr>
                <w:ilvl w:val="0"/>
                <w:numId w:val="0"/>
              </w:numPr>
              <w:spacing w:before="60" w:after="60"/>
              <w:jc w:val="both"/>
            </w:pPr>
            <w:r w:rsidRPr="007F4EEE">
              <w:t>Norvège</w:t>
            </w:r>
          </w:p>
        </w:tc>
        <w:tc>
          <w:tcPr>
            <w:tcW w:w="2835" w:type="dxa"/>
            <w:tcBorders>
              <w:top w:val="nil"/>
              <w:left w:val="nil"/>
              <w:bottom w:val="nil"/>
              <w:right w:val="nil"/>
            </w:tcBorders>
          </w:tcPr>
          <w:p w14:paraId="63202FC1" w14:textId="77777777" w:rsidR="00811D13" w:rsidRPr="007F4EEE" w:rsidRDefault="00DA46BA" w:rsidP="002A5D3D">
            <w:pPr>
              <w:pStyle w:val="COMPara"/>
              <w:numPr>
                <w:ilvl w:val="0"/>
                <w:numId w:val="0"/>
              </w:numPr>
              <w:spacing w:before="60" w:after="60"/>
            </w:pPr>
            <w:hyperlink r:id="rId15" w:history="1">
              <w:r w:rsidR="00134CC7" w:rsidRPr="007F4EEE">
                <w:rPr>
                  <w:rStyle w:val="Hyperlink"/>
                </w:rPr>
                <w:t>Rapport d</w:t>
              </w:r>
              <w:r w:rsidR="00F007F5" w:rsidRPr="007F4EEE">
                <w:rPr>
                  <w:rStyle w:val="Hyperlink"/>
                </w:rPr>
                <w:t>’</w:t>
              </w:r>
              <w:r w:rsidR="00134CC7" w:rsidRPr="007F4EEE">
                <w:rPr>
                  <w:rStyle w:val="Hyperlink"/>
                </w:rPr>
                <w:t>avancement (11-2017)</w:t>
              </w:r>
            </w:hyperlink>
          </w:p>
        </w:tc>
      </w:tr>
      <w:tr w:rsidR="00811D13" w:rsidRPr="00811D13" w14:paraId="76C2A29E" w14:textId="77777777" w:rsidTr="00D57B41">
        <w:tc>
          <w:tcPr>
            <w:tcW w:w="4394" w:type="dxa"/>
            <w:tcBorders>
              <w:top w:val="nil"/>
              <w:left w:val="nil"/>
              <w:bottom w:val="nil"/>
              <w:right w:val="nil"/>
            </w:tcBorders>
          </w:tcPr>
          <w:p w14:paraId="5645E6C9" w14:textId="77777777" w:rsidR="00811D13" w:rsidRPr="007F4EEE" w:rsidRDefault="00811D13" w:rsidP="00134CC7">
            <w:pPr>
              <w:pStyle w:val="COMPara"/>
              <w:numPr>
                <w:ilvl w:val="0"/>
                <w:numId w:val="0"/>
              </w:numPr>
              <w:spacing w:before="60" w:after="60"/>
              <w:jc w:val="both"/>
            </w:pPr>
            <w:r w:rsidRPr="007F4EEE">
              <w:t>Renforcement des capacités nationales en vue de sauvegarder le patrimoine culturel immatériel pour le développement durable au Bangladesh</w:t>
            </w:r>
          </w:p>
        </w:tc>
        <w:tc>
          <w:tcPr>
            <w:tcW w:w="2126" w:type="dxa"/>
            <w:tcBorders>
              <w:top w:val="nil"/>
              <w:left w:val="nil"/>
              <w:bottom w:val="nil"/>
              <w:right w:val="nil"/>
            </w:tcBorders>
          </w:tcPr>
          <w:p w14:paraId="52B37DF1" w14:textId="77777777" w:rsidR="00811D13" w:rsidRPr="007F4EEE" w:rsidRDefault="00811D13" w:rsidP="00134CC7">
            <w:pPr>
              <w:pStyle w:val="COMPara"/>
              <w:numPr>
                <w:ilvl w:val="0"/>
                <w:numId w:val="0"/>
              </w:numPr>
              <w:spacing w:before="60" w:after="60"/>
              <w:jc w:val="both"/>
            </w:pPr>
            <w:r w:rsidRPr="007F4EEE">
              <w:t>Azerbaïdjan</w:t>
            </w:r>
          </w:p>
        </w:tc>
        <w:tc>
          <w:tcPr>
            <w:tcW w:w="2835" w:type="dxa"/>
            <w:tcBorders>
              <w:top w:val="nil"/>
              <w:left w:val="nil"/>
              <w:bottom w:val="nil"/>
              <w:right w:val="nil"/>
            </w:tcBorders>
          </w:tcPr>
          <w:p w14:paraId="4AF366FC" w14:textId="77777777" w:rsidR="00811D13" w:rsidRPr="007F4EEE" w:rsidRDefault="00DA46BA" w:rsidP="002A5D3D">
            <w:pPr>
              <w:pStyle w:val="COMPara"/>
              <w:numPr>
                <w:ilvl w:val="0"/>
                <w:numId w:val="0"/>
              </w:numPr>
              <w:spacing w:before="60" w:after="60"/>
            </w:pPr>
            <w:hyperlink r:id="rId16" w:history="1">
              <w:r w:rsidR="00134CC7" w:rsidRPr="007F4EEE">
                <w:rPr>
                  <w:rStyle w:val="Hyperlink"/>
                </w:rPr>
                <w:t>Rapport d</w:t>
              </w:r>
              <w:r w:rsidR="00F007F5" w:rsidRPr="007F4EEE">
                <w:rPr>
                  <w:rStyle w:val="Hyperlink"/>
                </w:rPr>
                <w:t>’</w:t>
              </w:r>
              <w:r w:rsidR="00134CC7" w:rsidRPr="007F4EEE">
                <w:rPr>
                  <w:rStyle w:val="Hyperlink"/>
                </w:rPr>
                <w:t>avancement 2017</w:t>
              </w:r>
            </w:hyperlink>
          </w:p>
        </w:tc>
      </w:tr>
      <w:tr w:rsidR="00811D13" w:rsidRPr="00134CC7" w14:paraId="34DB0B3E" w14:textId="77777777" w:rsidTr="00D57B41">
        <w:tc>
          <w:tcPr>
            <w:tcW w:w="4394" w:type="dxa"/>
            <w:tcBorders>
              <w:top w:val="nil"/>
              <w:left w:val="nil"/>
              <w:bottom w:val="nil"/>
              <w:right w:val="nil"/>
            </w:tcBorders>
          </w:tcPr>
          <w:p w14:paraId="23E575C5" w14:textId="77777777" w:rsidR="00811D13" w:rsidRPr="007F4EEE" w:rsidRDefault="00811D13" w:rsidP="00134CC7">
            <w:pPr>
              <w:pStyle w:val="COMPara"/>
              <w:numPr>
                <w:ilvl w:val="0"/>
                <w:numId w:val="0"/>
              </w:numPr>
              <w:spacing w:before="60" w:after="60"/>
              <w:jc w:val="both"/>
            </w:pPr>
            <w:r w:rsidRPr="007F4EEE">
              <w:t>Renforcement des capacités du Suriname et des îles néerlandaises des Caraïbes pour la mise en œuvre de la Convention pour la sauvegarde du patrimoine culturel immatériel</w:t>
            </w:r>
          </w:p>
        </w:tc>
        <w:tc>
          <w:tcPr>
            <w:tcW w:w="2126" w:type="dxa"/>
            <w:tcBorders>
              <w:top w:val="nil"/>
              <w:left w:val="nil"/>
              <w:bottom w:val="nil"/>
              <w:right w:val="nil"/>
            </w:tcBorders>
          </w:tcPr>
          <w:p w14:paraId="34E3CF79" w14:textId="77777777" w:rsidR="00811D13" w:rsidRPr="007F4EEE" w:rsidRDefault="00811D13" w:rsidP="00134CC7">
            <w:pPr>
              <w:pStyle w:val="COMPara"/>
              <w:numPr>
                <w:ilvl w:val="0"/>
                <w:numId w:val="0"/>
              </w:numPr>
              <w:spacing w:before="60" w:after="60"/>
              <w:jc w:val="both"/>
            </w:pPr>
            <w:r w:rsidRPr="007F4EEE">
              <w:t>Pays-Bas</w:t>
            </w:r>
          </w:p>
        </w:tc>
        <w:tc>
          <w:tcPr>
            <w:tcW w:w="2835" w:type="dxa"/>
            <w:tcBorders>
              <w:top w:val="nil"/>
              <w:left w:val="nil"/>
              <w:bottom w:val="nil"/>
              <w:right w:val="nil"/>
            </w:tcBorders>
          </w:tcPr>
          <w:p w14:paraId="229B24AF" w14:textId="77777777" w:rsidR="00811D13" w:rsidRPr="007F4EEE" w:rsidRDefault="00DA46BA" w:rsidP="008B793A">
            <w:pPr>
              <w:pStyle w:val="COMPara"/>
              <w:numPr>
                <w:ilvl w:val="0"/>
                <w:numId w:val="0"/>
              </w:numPr>
              <w:spacing w:before="60" w:after="60"/>
            </w:pPr>
            <w:hyperlink r:id="rId17" w:history="1">
              <w:r w:rsidR="00134CC7" w:rsidRPr="007F4EEE">
                <w:rPr>
                  <w:rStyle w:val="Hyperlink"/>
                </w:rPr>
                <w:t xml:space="preserve">Rapport final phase I </w:t>
              </w:r>
              <w:r w:rsidR="00134CC7" w:rsidRPr="007F4EEE">
                <w:rPr>
                  <w:rStyle w:val="Hyperlink"/>
                </w:rPr>
                <w:br/>
                <w:t>(10-2017)</w:t>
              </w:r>
            </w:hyperlink>
          </w:p>
        </w:tc>
      </w:tr>
      <w:tr w:rsidR="00811D13" w:rsidRPr="00811D13" w14:paraId="4A1ECF7F" w14:textId="77777777" w:rsidTr="00D57B41">
        <w:tc>
          <w:tcPr>
            <w:tcW w:w="4394" w:type="dxa"/>
            <w:tcBorders>
              <w:top w:val="nil"/>
              <w:left w:val="nil"/>
              <w:bottom w:val="nil"/>
              <w:right w:val="nil"/>
            </w:tcBorders>
          </w:tcPr>
          <w:p w14:paraId="524B0FCE" w14:textId="77777777" w:rsidR="00811D13" w:rsidRPr="007F4EEE" w:rsidRDefault="00811D13" w:rsidP="00134CC7">
            <w:pPr>
              <w:pStyle w:val="COMPara"/>
              <w:numPr>
                <w:ilvl w:val="0"/>
                <w:numId w:val="0"/>
              </w:numPr>
              <w:spacing w:before="60" w:after="60"/>
              <w:jc w:val="both"/>
            </w:pPr>
            <w:r w:rsidRPr="007F4EEE">
              <w:t>Sauvegarde du patrimoine culturel immatériel à travers le renforcement des capacités nationales au Maroc, en Mauritanie et en Tunisie</w:t>
            </w:r>
          </w:p>
        </w:tc>
        <w:tc>
          <w:tcPr>
            <w:tcW w:w="2126" w:type="dxa"/>
            <w:tcBorders>
              <w:top w:val="nil"/>
              <w:left w:val="nil"/>
              <w:bottom w:val="nil"/>
              <w:right w:val="nil"/>
            </w:tcBorders>
          </w:tcPr>
          <w:p w14:paraId="24AA3A37" w14:textId="77777777" w:rsidR="00811D13" w:rsidRPr="007F4EEE" w:rsidRDefault="00DB1099" w:rsidP="00134CC7">
            <w:pPr>
              <w:pStyle w:val="COMPara"/>
              <w:numPr>
                <w:ilvl w:val="0"/>
                <w:numId w:val="0"/>
              </w:numPr>
              <w:spacing w:before="60" w:after="60"/>
            </w:pPr>
            <w:r w:rsidRPr="007F4EEE">
              <w:t>Norvège et Espagne (Generalitat de Catalunya)</w:t>
            </w:r>
          </w:p>
        </w:tc>
        <w:tc>
          <w:tcPr>
            <w:tcW w:w="2835" w:type="dxa"/>
            <w:tcBorders>
              <w:top w:val="nil"/>
              <w:left w:val="nil"/>
              <w:bottom w:val="nil"/>
              <w:right w:val="nil"/>
            </w:tcBorders>
          </w:tcPr>
          <w:p w14:paraId="3188046E" w14:textId="77777777" w:rsidR="00811D13" w:rsidRPr="007F4EEE" w:rsidRDefault="00DA46BA" w:rsidP="002A5D3D">
            <w:pPr>
              <w:pStyle w:val="COMPara"/>
              <w:numPr>
                <w:ilvl w:val="0"/>
                <w:numId w:val="0"/>
              </w:numPr>
              <w:spacing w:before="60" w:after="60"/>
            </w:pPr>
            <w:hyperlink r:id="rId18" w:history="1">
              <w:r w:rsidR="00134CC7" w:rsidRPr="007F4EEE">
                <w:rPr>
                  <w:rStyle w:val="Hyperlink"/>
                </w:rPr>
                <w:t>Rapport d</w:t>
              </w:r>
              <w:r w:rsidR="00F007F5" w:rsidRPr="007F4EEE">
                <w:rPr>
                  <w:rStyle w:val="Hyperlink"/>
                </w:rPr>
                <w:t>’</w:t>
              </w:r>
              <w:r w:rsidR="00134CC7" w:rsidRPr="007F4EEE">
                <w:rPr>
                  <w:rStyle w:val="Hyperlink"/>
                </w:rPr>
                <w:t>avancement 2017</w:t>
              </w:r>
            </w:hyperlink>
          </w:p>
        </w:tc>
      </w:tr>
      <w:tr w:rsidR="00811D13" w:rsidRPr="00811D13" w14:paraId="56887A1B" w14:textId="77777777" w:rsidTr="00D57B41">
        <w:tc>
          <w:tcPr>
            <w:tcW w:w="4394" w:type="dxa"/>
            <w:tcBorders>
              <w:top w:val="nil"/>
              <w:left w:val="nil"/>
              <w:bottom w:val="nil"/>
              <w:right w:val="nil"/>
            </w:tcBorders>
          </w:tcPr>
          <w:p w14:paraId="1B0B0551" w14:textId="77777777" w:rsidR="00811D13" w:rsidRPr="007F4EEE" w:rsidRDefault="00DB1099" w:rsidP="00134CC7">
            <w:pPr>
              <w:pStyle w:val="COMPara"/>
              <w:numPr>
                <w:ilvl w:val="0"/>
                <w:numId w:val="0"/>
              </w:numPr>
              <w:spacing w:before="60" w:after="60"/>
              <w:jc w:val="both"/>
            </w:pPr>
            <w:r w:rsidRPr="007F4EEE">
              <w:t>Renforcement des capacités locales pour la sauvegarde du patrimoine culturel immatériel du Guatemala</w:t>
            </w:r>
          </w:p>
        </w:tc>
        <w:tc>
          <w:tcPr>
            <w:tcW w:w="2126" w:type="dxa"/>
            <w:tcBorders>
              <w:top w:val="nil"/>
              <w:left w:val="nil"/>
              <w:bottom w:val="nil"/>
              <w:right w:val="nil"/>
            </w:tcBorders>
          </w:tcPr>
          <w:p w14:paraId="10D7C786" w14:textId="77777777" w:rsidR="00811D13" w:rsidRPr="007F4EEE" w:rsidRDefault="00DB1099" w:rsidP="00134CC7">
            <w:pPr>
              <w:pStyle w:val="COMPara"/>
              <w:numPr>
                <w:ilvl w:val="0"/>
                <w:numId w:val="0"/>
              </w:numPr>
              <w:spacing w:before="60" w:after="60"/>
              <w:jc w:val="both"/>
            </w:pPr>
            <w:r w:rsidRPr="007F4EEE">
              <w:t>Azerbaïdjan</w:t>
            </w:r>
          </w:p>
        </w:tc>
        <w:tc>
          <w:tcPr>
            <w:tcW w:w="2835" w:type="dxa"/>
            <w:tcBorders>
              <w:top w:val="nil"/>
              <w:left w:val="nil"/>
              <w:bottom w:val="nil"/>
              <w:right w:val="nil"/>
            </w:tcBorders>
          </w:tcPr>
          <w:p w14:paraId="410E2404" w14:textId="77777777" w:rsidR="00811D13" w:rsidRPr="007F4EEE" w:rsidRDefault="00DA46BA" w:rsidP="002A5D3D">
            <w:pPr>
              <w:pStyle w:val="COMPara"/>
              <w:numPr>
                <w:ilvl w:val="0"/>
                <w:numId w:val="0"/>
              </w:numPr>
              <w:spacing w:before="60" w:after="60"/>
            </w:pPr>
            <w:hyperlink r:id="rId19" w:history="1">
              <w:r w:rsidR="00134CC7" w:rsidRPr="007F4EEE">
                <w:rPr>
                  <w:rStyle w:val="Hyperlink"/>
                </w:rPr>
                <w:t>Rapport d</w:t>
              </w:r>
              <w:r w:rsidR="00F007F5" w:rsidRPr="007F4EEE">
                <w:rPr>
                  <w:rStyle w:val="Hyperlink"/>
                </w:rPr>
                <w:t>’</w:t>
              </w:r>
              <w:r w:rsidR="00134CC7" w:rsidRPr="007F4EEE">
                <w:rPr>
                  <w:rStyle w:val="Hyperlink"/>
                </w:rPr>
                <w:t>avancement 2017</w:t>
              </w:r>
            </w:hyperlink>
          </w:p>
        </w:tc>
      </w:tr>
    </w:tbl>
    <w:p w14:paraId="4CC130AE" w14:textId="77777777" w:rsidR="000077AF" w:rsidRPr="000077AF" w:rsidRDefault="004D6E2F" w:rsidP="00D57B41">
      <w:pPr>
        <w:pStyle w:val="Paragraph"/>
        <w:keepNext/>
        <w:numPr>
          <w:ilvl w:val="0"/>
          <w:numId w:val="0"/>
        </w:numPr>
        <w:spacing w:before="240" w:after="120"/>
        <w:ind w:left="567"/>
        <w:rPr>
          <w:b/>
        </w:rPr>
      </w:pPr>
      <w:r>
        <w:rPr>
          <w:b/>
        </w:rPr>
        <w:t>Autres questions : taux de gestion</w:t>
      </w:r>
    </w:p>
    <w:p w14:paraId="2A755901" w14:textId="0E9759C0" w:rsidR="0006218A" w:rsidRPr="00EA7525" w:rsidRDefault="000A01A6" w:rsidP="00521E0D">
      <w:pPr>
        <w:pStyle w:val="COMPara"/>
        <w:ind w:left="567" w:hanging="567"/>
        <w:jc w:val="both"/>
        <w:rPr>
          <w:rFonts w:ascii="ArialMT" w:eastAsia="SimSun" w:hAnsi="ArialMT" w:cs="ArialMT" w:hint="eastAsia"/>
          <w:bCs/>
        </w:rPr>
      </w:pPr>
      <w:r>
        <w:rPr>
          <w:rFonts w:ascii="ArialMT" w:hAnsi="ArialMT"/>
        </w:rPr>
        <w:t>Lors de sa 204e session (UNESCO, avril 2018), le Conseil exécutif a examiné les</w:t>
      </w:r>
      <w:r>
        <w:rPr>
          <w:rFonts w:ascii="ArialMT" w:hAnsi="ArialMT"/>
          <w:bCs/>
        </w:rPr>
        <w:t xml:space="preserve"> documents </w:t>
      </w:r>
      <w:hyperlink r:id="rId20" w:history="1">
        <w:r>
          <w:rPr>
            <w:rStyle w:val="Hyperlink"/>
            <w:rFonts w:ascii="ArialMT" w:hAnsi="ArialMT"/>
            <w:bCs/>
          </w:rPr>
          <w:t>204 EX/5 Partie II.E et 204 EX/5 Partie II.E Corr.</w:t>
        </w:r>
      </w:hyperlink>
      <w:r>
        <w:rPr>
          <w:rFonts w:ascii="ArialMT" w:hAnsi="ArialMT"/>
          <w:bCs/>
        </w:rPr>
        <w:t xml:space="preserve">, qui contenaient trois propositions différentes </w:t>
      </w:r>
      <w:r>
        <w:t>concernant les taux de gestion différentiels ; parmi ces propositions, le Conseil a décidé d</w:t>
      </w:r>
      <w:r w:rsidR="00F007F5">
        <w:t>’</w:t>
      </w:r>
      <w:r>
        <w:t>approuver l</w:t>
      </w:r>
      <w:r w:rsidR="00F007F5">
        <w:t>’</w:t>
      </w:r>
      <w:r>
        <w:t>Option B (</w:t>
      </w:r>
      <w:hyperlink r:id="rId21" w:history="1">
        <w:r w:rsidR="00D921DC" w:rsidRPr="00521E0D">
          <w:rPr>
            <w:rStyle w:val="Hyperlink"/>
          </w:rPr>
          <w:t>d</w:t>
        </w:r>
        <w:r w:rsidRPr="00521E0D">
          <w:rPr>
            <w:rStyle w:val="Hyperlink"/>
          </w:rPr>
          <w:t xml:space="preserve">écision </w:t>
        </w:r>
        <w:r w:rsidRPr="00521E0D">
          <w:rPr>
            <w:rStyle w:val="Hyperlink"/>
            <w:rFonts w:ascii="ArialMT" w:hAnsi="ArialMT"/>
            <w:bCs/>
          </w:rPr>
          <w:t>204 EX/5.II.E</w:t>
        </w:r>
      </w:hyperlink>
      <w:r>
        <w:t>). Conformément à cette décision, les comptes spéciaux multidonateurs doivent désormais être soumis à un nouveau taux de 7 %, au lieu du précédent taux standard de 10 %.</w:t>
      </w:r>
    </w:p>
    <w:p w14:paraId="72E45460" w14:textId="77777777" w:rsidR="00ED6F8F" w:rsidRPr="00AC6064" w:rsidRDefault="00AE4634" w:rsidP="00521E0D">
      <w:pPr>
        <w:pStyle w:val="COMPara"/>
        <w:ind w:left="567" w:hanging="567"/>
        <w:jc w:val="both"/>
        <w:rPr>
          <w:rFonts w:eastAsia="SimSun"/>
        </w:rPr>
      </w:pPr>
      <w:r>
        <w:t>Le Fonds du patrimoine culturel immatériel, ainsi que d</w:t>
      </w:r>
      <w:r w:rsidR="00F007F5">
        <w:t>’</w:t>
      </w:r>
      <w:r>
        <w:t>autres comptes spéciaux multidonateurs comparables tels que le Fonds du patrimoine mondial, a bénéficié d</w:t>
      </w:r>
      <w:r w:rsidR="00F007F5">
        <w:t>’</w:t>
      </w:r>
      <w:r>
        <w:t>une dérogation spéciale du taux de gestion (0 %), accordée par la Directrice générale, concernant les contributions obligatoires, tandis qu</w:t>
      </w:r>
      <w:r w:rsidR="00F007F5">
        <w:t>’</w:t>
      </w:r>
      <w:r>
        <w:t>un taux de 10 % était appliqué aux contributions volontaires. Le document présenté lors de la 204e</w:t>
      </w:r>
      <w:r>
        <w:rPr>
          <w:vertAlign w:val="superscript"/>
        </w:rPr>
        <w:t xml:space="preserve"> </w:t>
      </w:r>
      <w:r>
        <w:t>session du Conseil exécutif indiquait que « les nécessaires consultations avec les organes directeurs des États parties à la Convention pour la sauvegarde du patrimoine culturel immatériel et à la Convention du patrimoine mondial se tiendront entre juin 2018 et novembre 2019 » (voir le document </w:t>
      </w:r>
      <w:hyperlink r:id="rId22" w:history="1">
        <w:r w:rsidRPr="00521E0D">
          <w:rPr>
            <w:rStyle w:val="Hyperlink"/>
          </w:rPr>
          <w:t>204</w:t>
        </w:r>
        <w:r w:rsidR="00521E0D">
          <w:rPr>
            <w:rStyle w:val="Hyperlink"/>
          </w:rPr>
          <w:t> </w:t>
        </w:r>
        <w:r w:rsidRPr="00521E0D">
          <w:rPr>
            <w:rStyle w:val="Hyperlink"/>
          </w:rPr>
          <w:t>EX/5</w:t>
        </w:r>
        <w:r w:rsidR="00521E0D">
          <w:rPr>
            <w:rStyle w:val="Hyperlink"/>
          </w:rPr>
          <w:t> Partie </w:t>
        </w:r>
        <w:r w:rsidRPr="00521E0D">
          <w:rPr>
            <w:rStyle w:val="Hyperlink"/>
          </w:rPr>
          <w:t>II.E</w:t>
        </w:r>
      </w:hyperlink>
      <w:r>
        <w:t>, paragraphe 14). Cela signifie que le Comité doit formuler une recommandation pour la prochaine session de l</w:t>
      </w:r>
      <w:r w:rsidR="00F007F5">
        <w:t>’</w:t>
      </w:r>
      <w:r>
        <w:t>Assemblée générale, prévue pour juin 2020.</w:t>
      </w:r>
    </w:p>
    <w:p w14:paraId="3C85DEFC" w14:textId="77777777" w:rsidR="00D95C4C" w:rsidRPr="00EA528C" w:rsidRDefault="000B1C8F" w:rsidP="00D57B41">
      <w:pPr>
        <w:pStyle w:val="COMPara"/>
        <w:ind w:left="567" w:hanging="567"/>
        <w:jc w:val="both"/>
      </w:pPr>
      <w:r>
        <w:t xml:space="preserve">Le Comité souhaitera peut-être adopter </w:t>
      </w:r>
      <w:r w:rsidR="008B793A">
        <w:t xml:space="preserve">la </w:t>
      </w:r>
      <w:r>
        <w:t>décision suivante :</w:t>
      </w:r>
    </w:p>
    <w:p w14:paraId="76C849FA" w14:textId="77777777" w:rsidR="00D95C4C" w:rsidRPr="00FD624F" w:rsidRDefault="004A34A0" w:rsidP="00D57B41">
      <w:pPr>
        <w:pStyle w:val="COMTitleDecision"/>
        <w:rPr>
          <w:rFonts w:eastAsia="SimSun"/>
        </w:rPr>
      </w:pPr>
      <w:r>
        <w:t>PROJET DE DÉCISION 13.COM 6</w:t>
      </w:r>
    </w:p>
    <w:p w14:paraId="7CCAF341" w14:textId="77777777" w:rsidR="00D95C4C" w:rsidRPr="00285BB4" w:rsidRDefault="00285BB4" w:rsidP="00D57B41">
      <w:pPr>
        <w:pStyle w:val="COMPreambulaDecisions"/>
        <w:rPr>
          <w:rFonts w:eastAsia="SimSun"/>
        </w:rPr>
      </w:pPr>
      <w:r>
        <w:t>Le Comité,</w:t>
      </w:r>
    </w:p>
    <w:p w14:paraId="10E2F323" w14:textId="77777777" w:rsidR="0057439C" w:rsidRPr="00345CB4" w:rsidRDefault="00D95C4C" w:rsidP="00D57B41">
      <w:pPr>
        <w:pStyle w:val="COMParaDecision"/>
        <w:ind w:left="1134" w:hanging="567"/>
        <w:jc w:val="left"/>
      </w:pPr>
      <w:r>
        <w:t>Ayant examiné</w:t>
      </w:r>
      <w:r>
        <w:rPr>
          <w:u w:val="none"/>
        </w:rPr>
        <w:t xml:space="preserve"> le document ITH/18/13.COM/6,</w:t>
      </w:r>
    </w:p>
    <w:p w14:paraId="6D963631" w14:textId="77777777" w:rsidR="0057439C" w:rsidRPr="00345CB4" w:rsidRDefault="0057439C" w:rsidP="00D57B41">
      <w:pPr>
        <w:pStyle w:val="COMParaDecision"/>
        <w:ind w:left="1134" w:hanging="567"/>
        <w:jc w:val="left"/>
      </w:pPr>
      <w:r>
        <w:t>Rappelant</w:t>
      </w:r>
      <w:r>
        <w:rPr>
          <w:u w:val="none"/>
        </w:rPr>
        <w:t xml:space="preserve"> l</w:t>
      </w:r>
      <w:r w:rsidR="00F007F5">
        <w:rPr>
          <w:u w:val="none"/>
        </w:rPr>
        <w:t>’</w:t>
      </w:r>
      <w:r>
        <w:rPr>
          <w:u w:val="none"/>
        </w:rPr>
        <w:t>article 25.5 de la Convention et le chapitre II des Directives</w:t>
      </w:r>
      <w:r w:rsidR="007B3DF3">
        <w:rPr>
          <w:u w:val="none"/>
        </w:rPr>
        <w:t xml:space="preserve"> </w:t>
      </w:r>
      <w:r>
        <w:rPr>
          <w:u w:val="none"/>
        </w:rPr>
        <w:t>opérationnelles,</w:t>
      </w:r>
    </w:p>
    <w:p w14:paraId="36A9E3A6" w14:textId="77777777" w:rsidR="00D95C4C" w:rsidRPr="003F275F" w:rsidRDefault="00D95C4C" w:rsidP="00D57B41">
      <w:pPr>
        <w:pStyle w:val="COMParaDecision"/>
        <w:ind w:left="1134" w:hanging="567"/>
      </w:pPr>
      <w:r>
        <w:t>Rappelant en outre</w:t>
      </w:r>
      <w:r>
        <w:rPr>
          <w:u w:val="none"/>
        </w:rPr>
        <w:t xml:space="preserve"> les </w:t>
      </w:r>
      <w:r w:rsidR="00D921DC">
        <w:rPr>
          <w:u w:val="none"/>
        </w:rPr>
        <w:t>d</w:t>
      </w:r>
      <w:r>
        <w:rPr>
          <w:u w:val="none"/>
        </w:rPr>
        <w:t>écisions </w:t>
      </w:r>
      <w:hyperlink r:id="rId23" w:history="1">
        <w:r>
          <w:rPr>
            <w:rStyle w:val="Hyperlink"/>
          </w:rPr>
          <w:t>8.COM 12</w:t>
        </w:r>
      </w:hyperlink>
      <w:r>
        <w:rPr>
          <w:u w:val="none"/>
        </w:rPr>
        <w:t xml:space="preserve">, </w:t>
      </w:r>
      <w:hyperlink r:id="rId24" w:history="1">
        <w:r>
          <w:rPr>
            <w:rStyle w:val="Hyperlink"/>
          </w:rPr>
          <w:t>9.COM 7</w:t>
        </w:r>
      </w:hyperlink>
      <w:r>
        <w:rPr>
          <w:u w:val="none"/>
        </w:rPr>
        <w:t xml:space="preserve">, </w:t>
      </w:r>
      <w:hyperlink r:id="rId25" w:history="1">
        <w:r>
          <w:rPr>
            <w:rStyle w:val="Hyperlink"/>
          </w:rPr>
          <w:t>10.COM 9</w:t>
        </w:r>
      </w:hyperlink>
      <w:r>
        <w:rPr>
          <w:u w:val="none"/>
        </w:rPr>
        <w:t xml:space="preserve">, </w:t>
      </w:r>
      <w:hyperlink r:id="rId26" w:history="1">
        <w:r>
          <w:rPr>
            <w:rStyle w:val="Hyperlink"/>
          </w:rPr>
          <w:t>11.COM 6</w:t>
        </w:r>
      </w:hyperlink>
      <w:r w:rsidR="00123855" w:rsidRPr="002A5D3D">
        <w:rPr>
          <w:rStyle w:val="Hyperlink"/>
          <w:color w:val="auto"/>
          <w:u w:val="none"/>
        </w:rPr>
        <w:t>,</w:t>
      </w:r>
      <w:r w:rsidRPr="00123855">
        <w:rPr>
          <w:u w:val="none"/>
        </w:rPr>
        <w:t xml:space="preserve"> </w:t>
      </w:r>
      <w:hyperlink r:id="rId27" w:history="1">
        <w:r>
          <w:rPr>
            <w:rStyle w:val="Hyperlink"/>
          </w:rPr>
          <w:t>12.COM</w:t>
        </w:r>
        <w:r w:rsidR="007B3DF3">
          <w:rPr>
            <w:rStyle w:val="Hyperlink"/>
          </w:rPr>
          <w:t> </w:t>
        </w:r>
        <w:r>
          <w:rPr>
            <w:rStyle w:val="Hyperlink"/>
          </w:rPr>
          <w:t>6</w:t>
        </w:r>
      </w:hyperlink>
      <w:r w:rsidR="00123855">
        <w:rPr>
          <w:u w:val="none"/>
        </w:rPr>
        <w:t xml:space="preserve"> et </w:t>
      </w:r>
      <w:hyperlink r:id="rId28" w:history="1">
        <w:r w:rsidR="00123855" w:rsidRPr="00123855">
          <w:rPr>
            <w:rStyle w:val="Hyperlink"/>
          </w:rPr>
          <w:t>12.COM 14</w:t>
        </w:r>
      </w:hyperlink>
      <w:r w:rsidR="00123855">
        <w:rPr>
          <w:u w:val="none"/>
        </w:rPr>
        <w:t>,</w:t>
      </w:r>
    </w:p>
    <w:p w14:paraId="2E8F15DF" w14:textId="77777777" w:rsidR="00123855" w:rsidRDefault="00123855" w:rsidP="00521E0D">
      <w:pPr>
        <w:pStyle w:val="COMParaDecision"/>
        <w:ind w:left="1134" w:hanging="567"/>
        <w:rPr>
          <w:u w:val="none"/>
        </w:rPr>
      </w:pPr>
      <w:r w:rsidRPr="002A5D3D">
        <w:t>Félicite</w:t>
      </w:r>
      <w:r>
        <w:rPr>
          <w:u w:val="none"/>
        </w:rPr>
        <w:t xml:space="preserve"> le Japon pour </w:t>
      </w:r>
      <w:r w:rsidRPr="00123855">
        <w:rPr>
          <w:u w:val="none"/>
        </w:rPr>
        <w:t xml:space="preserve">son offre généreuse de contribution volontaire supplémentaire au Fonds du patrimoine culturel immatériel pour </w:t>
      </w:r>
      <w:r>
        <w:rPr>
          <w:u w:val="none"/>
        </w:rPr>
        <w:t xml:space="preserve">soutenir la réflexion générale sur les mécanismes </w:t>
      </w:r>
      <w:r w:rsidR="00935446">
        <w:rPr>
          <w:u w:val="none"/>
        </w:rPr>
        <w:t>d’inscription sur les</w:t>
      </w:r>
      <w:r>
        <w:rPr>
          <w:u w:val="none"/>
        </w:rPr>
        <w:t xml:space="preserve"> listes de la Convention de 2003, notamment pour </w:t>
      </w:r>
      <w:r>
        <w:rPr>
          <w:u w:val="none"/>
        </w:rPr>
        <w:lastRenderedPageBreak/>
        <w:t xml:space="preserve">organiser une réunion préliminaire d’experts en 2019 et pour soutenir </w:t>
      </w:r>
      <w:r w:rsidRPr="00123855">
        <w:rPr>
          <w:u w:val="none"/>
        </w:rPr>
        <w:t xml:space="preserve">l’organisation </w:t>
      </w:r>
      <w:r>
        <w:rPr>
          <w:u w:val="none"/>
        </w:rPr>
        <w:t>d’une réunion du groupe de travail intergouvernemental à composition non limitée (provisoirement prévue pour 2021)</w:t>
      </w:r>
      <w:r w:rsidR="00521E0D">
        <w:rPr>
          <w:u w:val="none"/>
        </w:rPr>
        <w:t> </w:t>
      </w:r>
      <w:r w:rsidRPr="00123855">
        <w:rPr>
          <w:u w:val="none"/>
        </w:rPr>
        <w:t>;</w:t>
      </w:r>
    </w:p>
    <w:p w14:paraId="4246D930" w14:textId="77777777" w:rsidR="00123855" w:rsidRPr="002A5D3D" w:rsidRDefault="00123855" w:rsidP="002A5D3D">
      <w:pPr>
        <w:pStyle w:val="COMParaDecision"/>
        <w:ind w:left="1134" w:hanging="567"/>
        <w:rPr>
          <w:u w:val="none"/>
        </w:rPr>
      </w:pPr>
      <w:r w:rsidRPr="00A02CFD">
        <w:t>Accepte avec gratitude</w:t>
      </w:r>
      <w:r w:rsidR="00A02CFD">
        <w:rPr>
          <w:u w:val="none"/>
        </w:rPr>
        <w:t xml:space="preserve"> </w:t>
      </w:r>
      <w:r w:rsidRPr="002A5D3D">
        <w:rPr>
          <w:u w:val="none"/>
        </w:rPr>
        <w:t>la contribution généreuse du Japon,</w:t>
      </w:r>
      <w:r w:rsidR="00A02CFD">
        <w:rPr>
          <w:u w:val="none"/>
        </w:rPr>
        <w:t xml:space="preserve"> </w:t>
      </w:r>
      <w:r w:rsidRPr="00A02CFD">
        <w:t>approuve</w:t>
      </w:r>
      <w:r w:rsidR="00A02CFD">
        <w:rPr>
          <w:u w:val="none"/>
        </w:rPr>
        <w:t xml:space="preserve"> </w:t>
      </w:r>
      <w:r w:rsidRPr="002A5D3D">
        <w:rPr>
          <w:u w:val="none"/>
        </w:rPr>
        <w:t>son objet spécifique et</w:t>
      </w:r>
      <w:r w:rsidR="00A02CFD">
        <w:rPr>
          <w:u w:val="none"/>
        </w:rPr>
        <w:t xml:space="preserve"> </w:t>
      </w:r>
      <w:r w:rsidRPr="00A02CFD">
        <w:t>demande</w:t>
      </w:r>
      <w:r w:rsidR="00A02CFD">
        <w:rPr>
          <w:u w:val="none"/>
        </w:rPr>
        <w:t xml:space="preserve"> </w:t>
      </w:r>
      <w:r w:rsidRPr="002A5D3D">
        <w:rPr>
          <w:u w:val="none"/>
        </w:rPr>
        <w:t>au Secrétariat d’assurer sa bonne planification et mise en œuvre ;</w:t>
      </w:r>
    </w:p>
    <w:p w14:paraId="3306E3B9" w14:textId="77777777" w:rsidR="003F275F" w:rsidRDefault="003F275F" w:rsidP="00D57B41">
      <w:pPr>
        <w:pStyle w:val="COMParaDecision"/>
        <w:ind w:left="1134" w:hanging="567"/>
        <w:rPr>
          <w:u w:val="none"/>
        </w:rPr>
      </w:pPr>
      <w:r>
        <w:t>Prend note</w:t>
      </w:r>
      <w:r>
        <w:rPr>
          <w:u w:val="none"/>
        </w:rPr>
        <w:t xml:space="preserve"> qu</w:t>
      </w:r>
      <w:r w:rsidR="00F007F5">
        <w:rPr>
          <w:u w:val="none"/>
        </w:rPr>
        <w:t>’</w:t>
      </w:r>
      <w:r>
        <w:rPr>
          <w:u w:val="none"/>
        </w:rPr>
        <w:t>aucune contribution volontaire supplémentaire au Fonds du patrimoine culturel immatériel n</w:t>
      </w:r>
      <w:r w:rsidR="00F007F5">
        <w:rPr>
          <w:u w:val="none"/>
        </w:rPr>
        <w:t>’</w:t>
      </w:r>
      <w:r>
        <w:rPr>
          <w:u w:val="none"/>
        </w:rPr>
        <w:t xml:space="preserve">a encore été reçue conformément aux deux priorités de financement approuvées pour la période 2018-2021, et </w:t>
      </w:r>
      <w:r w:rsidR="002F5E8D">
        <w:t>exprime sa</w:t>
      </w:r>
      <w:r>
        <w:t xml:space="preserve"> préoccupation</w:t>
      </w:r>
      <w:r>
        <w:rPr>
          <w:u w:val="none"/>
        </w:rPr>
        <w:t xml:space="preserve"> à cet égard ;</w:t>
      </w:r>
    </w:p>
    <w:p w14:paraId="2A5B0F84" w14:textId="77777777" w:rsidR="00B31111" w:rsidRPr="00187B8D" w:rsidRDefault="00D4698C">
      <w:pPr>
        <w:pStyle w:val="COMParaDecision"/>
        <w:ind w:left="1134" w:hanging="567"/>
        <w:rPr>
          <w:u w:val="none"/>
        </w:rPr>
      </w:pPr>
      <w:r>
        <w:t>Remercie</w:t>
      </w:r>
      <w:r>
        <w:rPr>
          <w:u w:val="none"/>
        </w:rPr>
        <w:t xml:space="preserve"> tous les </w:t>
      </w:r>
      <w:r w:rsidR="007B3DF3">
        <w:rPr>
          <w:u w:val="none"/>
        </w:rPr>
        <w:t xml:space="preserve">donateurs </w:t>
      </w:r>
      <w:r>
        <w:rPr>
          <w:u w:val="none"/>
        </w:rPr>
        <w:t xml:space="preserve">qui ont généreusement soutenu la Convention et son Secrétariat depuis </w:t>
      </w:r>
      <w:r w:rsidR="00D921DC">
        <w:rPr>
          <w:u w:val="none"/>
        </w:rPr>
        <w:t>s</w:t>
      </w:r>
      <w:r>
        <w:rPr>
          <w:u w:val="none"/>
        </w:rPr>
        <w:t xml:space="preserve">a dernière session, à savoir la Belgique (Flandre), la Finlande, le Japon, </w:t>
      </w:r>
      <w:r w:rsidR="00123855">
        <w:rPr>
          <w:u w:val="none"/>
        </w:rPr>
        <w:t xml:space="preserve">le Kazakhstan, </w:t>
      </w:r>
      <w:r>
        <w:rPr>
          <w:u w:val="none"/>
        </w:rPr>
        <w:t>le Monténégro, la République populaire de Chine et Singapour ;</w:t>
      </w:r>
    </w:p>
    <w:p w14:paraId="026F1698" w14:textId="77777777" w:rsidR="00D4698C" w:rsidRDefault="00D4698C" w:rsidP="00D57B41">
      <w:pPr>
        <w:pStyle w:val="COMParaDecision"/>
        <w:ind w:left="1134" w:hanging="567"/>
        <w:rPr>
          <w:u w:val="none"/>
        </w:rPr>
      </w:pPr>
      <w:r>
        <w:t>Encourage</w:t>
      </w:r>
      <w:r>
        <w:rPr>
          <w:u w:val="none"/>
        </w:rPr>
        <w:t xml:space="preserve"> d</w:t>
      </w:r>
      <w:r w:rsidR="00F007F5">
        <w:rPr>
          <w:u w:val="none"/>
        </w:rPr>
        <w:t>’</w:t>
      </w:r>
      <w:r>
        <w:rPr>
          <w:u w:val="none"/>
        </w:rPr>
        <w:t xml:space="preserve">autres </w:t>
      </w:r>
      <w:r w:rsidR="007B3DF3">
        <w:rPr>
          <w:u w:val="none"/>
        </w:rPr>
        <w:t xml:space="preserve">donateurs </w:t>
      </w:r>
      <w:r>
        <w:rPr>
          <w:u w:val="none"/>
        </w:rPr>
        <w:t>à envisager la possibilité de soutenir la Convention, en particulier dans le cadre des deux priorités de financement définies pour la période 2018-2021 et du sous-fonds destiné au renforcement des ressources humaines du Secrétariat ;</w:t>
      </w:r>
    </w:p>
    <w:p w14:paraId="7AC27E50" w14:textId="77777777" w:rsidR="00397537" w:rsidRPr="00D4698C" w:rsidRDefault="00A16B32" w:rsidP="00D57B41">
      <w:pPr>
        <w:pStyle w:val="COMParaDecision"/>
        <w:ind w:left="1134" w:hanging="567"/>
        <w:rPr>
          <w:u w:val="none"/>
        </w:rPr>
      </w:pPr>
      <w:r>
        <w:t>Prend également note</w:t>
      </w:r>
      <w:r>
        <w:rPr>
          <w:u w:val="none"/>
        </w:rPr>
        <w:t xml:space="preserve"> du document du Conseil exécutif </w:t>
      </w:r>
      <w:hyperlink r:id="rId29" w:history="1">
        <w:r>
          <w:rPr>
            <w:rStyle w:val="Hyperlink"/>
          </w:rPr>
          <w:t>204 EX/5</w:t>
        </w:r>
      </w:hyperlink>
      <w:r>
        <w:rPr>
          <w:u w:val="none"/>
        </w:rPr>
        <w:t xml:space="preserve"> Partie II.E sur la « Politique de recouvrement des coûts : proposition révisée de politique de taux différentiels concernant les taux de gestion » et de la décision qui lui est associée ;</w:t>
      </w:r>
    </w:p>
    <w:p w14:paraId="1274ACA4" w14:textId="77777777" w:rsidR="00125CCC" w:rsidRPr="00125CCC" w:rsidRDefault="00125CCC" w:rsidP="00D57B41">
      <w:pPr>
        <w:pStyle w:val="COMParaDecision"/>
        <w:ind w:left="1134" w:hanging="567"/>
        <w:rPr>
          <w:u w:val="none"/>
        </w:rPr>
      </w:pPr>
      <w:r>
        <w:t>Demande</w:t>
      </w:r>
      <w:r>
        <w:rPr>
          <w:u w:val="none"/>
        </w:rPr>
        <w:t xml:space="preserve"> au Secrétariat de lui rendre compte, lors de sa quatorzième session, de l</w:t>
      </w:r>
      <w:r w:rsidR="00F007F5">
        <w:rPr>
          <w:u w:val="none"/>
        </w:rPr>
        <w:t>’</w:t>
      </w:r>
      <w:r>
        <w:rPr>
          <w:u w:val="none"/>
        </w:rPr>
        <w:t>avancement de la mise en œuvre de toute contribution volontaire supplémentaire qu</w:t>
      </w:r>
      <w:r w:rsidR="00F007F5">
        <w:rPr>
          <w:u w:val="none"/>
        </w:rPr>
        <w:t>’</w:t>
      </w:r>
      <w:r>
        <w:rPr>
          <w:u w:val="none"/>
        </w:rPr>
        <w:t>il aurait reçue depuis la treizième session.</w:t>
      </w:r>
    </w:p>
    <w:p w14:paraId="210FD770" w14:textId="77777777" w:rsidR="00591733" w:rsidRPr="009115B4" w:rsidRDefault="00591733" w:rsidP="00591733">
      <w:pPr>
        <w:pStyle w:val="COMParaDecision"/>
        <w:keepNext/>
        <w:pageBreakBefore/>
        <w:numPr>
          <w:ilvl w:val="0"/>
          <w:numId w:val="0"/>
        </w:numPr>
        <w:spacing w:before="240" w:after="480"/>
        <w:jc w:val="center"/>
        <w:rPr>
          <w:b/>
          <w:caps/>
          <w:snapToGrid w:val="0"/>
        </w:rPr>
      </w:pPr>
      <w:r>
        <w:rPr>
          <w:b/>
          <w:caps/>
          <w:snapToGrid w:val="0"/>
        </w:rPr>
        <w:lastRenderedPageBreak/>
        <w:t>ANNEXE I</w:t>
      </w:r>
    </w:p>
    <w:p w14:paraId="77C89E94" w14:textId="77777777" w:rsidR="00362DC5" w:rsidRDefault="00591733" w:rsidP="00591733">
      <w:pPr>
        <w:pStyle w:val="COMParaDecision"/>
        <w:keepNext/>
        <w:numPr>
          <w:ilvl w:val="0"/>
          <w:numId w:val="0"/>
        </w:numPr>
        <w:jc w:val="center"/>
        <w:rPr>
          <w:b/>
          <w:u w:val="none"/>
        </w:rPr>
      </w:pPr>
      <w:r>
        <w:rPr>
          <w:b/>
          <w:u w:val="none"/>
        </w:rPr>
        <w:t xml:space="preserve">Contributions financières/en nature en soutien de la Convention de 2003 depuis </w:t>
      </w:r>
    </w:p>
    <w:p w14:paraId="66788B20" w14:textId="77777777" w:rsidR="00591733" w:rsidRPr="00C44C01" w:rsidRDefault="00591733" w:rsidP="00591733">
      <w:pPr>
        <w:pStyle w:val="COMParaDecision"/>
        <w:keepNext/>
        <w:numPr>
          <w:ilvl w:val="0"/>
          <w:numId w:val="0"/>
        </w:numPr>
        <w:jc w:val="center"/>
        <w:rPr>
          <w:rFonts w:eastAsia="Times New Roman"/>
          <w:b/>
          <w:caps/>
          <w:snapToGrid w:val="0"/>
          <w:u w:val="none"/>
        </w:rPr>
      </w:pPr>
      <w:r>
        <w:rPr>
          <w:b/>
          <w:u w:val="none"/>
        </w:rPr>
        <w:t>la douzième session du Comité (décembre 2017) jusqu</w:t>
      </w:r>
      <w:r w:rsidR="00F007F5">
        <w:rPr>
          <w:b/>
          <w:u w:val="none"/>
        </w:rPr>
        <w:t>’</w:t>
      </w:r>
      <w:r>
        <w:rPr>
          <w:b/>
          <w:u w:val="none"/>
        </w:rPr>
        <w:t xml:space="preserve">à </w:t>
      </w:r>
      <w:r w:rsidR="00D921DC">
        <w:rPr>
          <w:b/>
          <w:u w:val="none"/>
        </w:rPr>
        <w:t>septembre </w:t>
      </w:r>
      <w:r>
        <w:rPr>
          <w:b/>
          <w:u w:val="none"/>
        </w:rPr>
        <w:t>2018</w:t>
      </w:r>
    </w:p>
    <w:p w14:paraId="397E321A" w14:textId="77777777" w:rsidR="00591733" w:rsidRPr="00591733" w:rsidRDefault="00591733" w:rsidP="007F4EEE">
      <w:pPr>
        <w:spacing w:before="840" w:after="60"/>
        <w:rPr>
          <w:rFonts w:ascii="Arial" w:hAnsi="Arial" w:cs="Arial"/>
          <w:b/>
          <w:smallCaps/>
          <w:color w:val="000000"/>
          <w:sz w:val="22"/>
          <w:szCs w:val="22"/>
        </w:rPr>
      </w:pPr>
      <w:r>
        <w:rPr>
          <w:rFonts w:ascii="Arial" w:hAnsi="Arial"/>
          <w:b/>
          <w:smallCaps/>
          <w:color w:val="000000"/>
          <w:sz w:val="22"/>
          <w:szCs w:val="22"/>
        </w:rPr>
        <w:t>Contributions volontaires suppl</w:t>
      </w:r>
      <w:r w:rsidR="002F5E8D" w:rsidRPr="00416CA9">
        <w:rPr>
          <w:rFonts w:ascii="Arial" w:hAnsi="Arial" w:cs="Arial"/>
          <w:b/>
          <w:smallCaps/>
          <w:color w:val="000000"/>
          <w:sz w:val="18"/>
          <w:szCs w:val="18"/>
        </w:rPr>
        <w:t>É</w:t>
      </w:r>
      <w:r>
        <w:rPr>
          <w:rFonts w:ascii="Arial" w:hAnsi="Arial"/>
          <w:b/>
          <w:smallCaps/>
          <w:color w:val="000000"/>
          <w:sz w:val="22"/>
          <w:szCs w:val="22"/>
        </w:rPr>
        <w:t>mentaires au Fonds du patrimoine culturel immat</w:t>
      </w:r>
      <w:r w:rsidR="00D921DC" w:rsidRPr="002A5D3D">
        <w:rPr>
          <w:rFonts w:ascii="Arial" w:hAnsi="Arial" w:cs="Arial"/>
          <w:b/>
          <w:smallCaps/>
          <w:color w:val="000000"/>
          <w:sz w:val="18"/>
          <w:szCs w:val="18"/>
        </w:rPr>
        <w:t>É</w:t>
      </w:r>
      <w:r>
        <w:rPr>
          <w:rFonts w:ascii="Arial" w:hAnsi="Arial"/>
          <w:b/>
          <w:smallCaps/>
          <w:color w:val="000000"/>
          <w:sz w:val="22"/>
          <w:szCs w:val="22"/>
        </w:rPr>
        <w:t>riel</w:t>
      </w:r>
    </w:p>
    <w:p w14:paraId="3954E35E" w14:textId="77777777" w:rsidR="00591733" w:rsidRPr="007F4EEE" w:rsidRDefault="00591733" w:rsidP="007F4EEE">
      <w:pPr>
        <w:spacing w:before="120" w:after="120"/>
        <w:ind w:left="709"/>
        <w:rPr>
          <w:rFonts w:ascii="Arial" w:hAnsi="Arial" w:cs="Arial"/>
          <w:b/>
          <w:color w:val="000000"/>
          <w:sz w:val="20"/>
          <w:szCs w:val="20"/>
        </w:rPr>
      </w:pPr>
      <w:r w:rsidRPr="007F4EEE">
        <w:rPr>
          <w:rFonts w:ascii="Arial" w:hAnsi="Arial"/>
          <w:b/>
          <w:color w:val="000000"/>
          <w:sz w:val="20"/>
          <w:szCs w:val="20"/>
        </w:rPr>
        <w:t>Sous-fonds pour le renforcement des capacités humaines du Secrétariat</w:t>
      </w:r>
    </w:p>
    <w:tbl>
      <w:tblPr>
        <w:tblW w:w="8930" w:type="dxa"/>
        <w:tblInd w:w="709" w:type="dxa"/>
        <w:tblLook w:val="04A0" w:firstRow="1" w:lastRow="0" w:firstColumn="1" w:lastColumn="0" w:noHBand="0" w:noVBand="1"/>
      </w:tblPr>
      <w:tblGrid>
        <w:gridCol w:w="6598"/>
        <w:gridCol w:w="2332"/>
      </w:tblGrid>
      <w:tr w:rsidR="00591733" w:rsidRPr="00620606" w14:paraId="79B51201" w14:textId="77777777" w:rsidTr="007F4EEE">
        <w:trPr>
          <w:cantSplit/>
        </w:trPr>
        <w:tc>
          <w:tcPr>
            <w:tcW w:w="6720" w:type="dxa"/>
            <w:vAlign w:val="center"/>
          </w:tcPr>
          <w:p w14:paraId="08A35169" w14:textId="77777777" w:rsidR="00591733" w:rsidRPr="00620606" w:rsidRDefault="00591733" w:rsidP="009462BD">
            <w:pPr>
              <w:spacing w:before="60" w:after="60"/>
              <w:rPr>
                <w:rFonts w:ascii="Arial" w:hAnsi="Arial" w:cs="Arial"/>
                <w:color w:val="000000"/>
                <w:sz w:val="20"/>
                <w:szCs w:val="20"/>
              </w:rPr>
            </w:pPr>
            <w:r>
              <w:rPr>
                <w:rFonts w:ascii="Arial" w:hAnsi="Arial"/>
                <w:color w:val="000000"/>
                <w:sz w:val="20"/>
                <w:szCs w:val="20"/>
              </w:rPr>
              <w:t>Chine</w:t>
            </w:r>
          </w:p>
        </w:tc>
        <w:tc>
          <w:tcPr>
            <w:tcW w:w="2352" w:type="dxa"/>
            <w:vAlign w:val="center"/>
          </w:tcPr>
          <w:p w14:paraId="7C76EED3" w14:textId="77777777" w:rsidR="00591733" w:rsidRPr="00620606" w:rsidRDefault="00591733" w:rsidP="007F4EEE">
            <w:pPr>
              <w:spacing w:before="60" w:after="60"/>
              <w:jc w:val="right"/>
              <w:rPr>
                <w:rFonts w:ascii="Arial" w:hAnsi="Arial" w:cs="Arial"/>
                <w:color w:val="000000"/>
                <w:sz w:val="20"/>
                <w:szCs w:val="20"/>
              </w:rPr>
            </w:pPr>
            <w:r>
              <w:rPr>
                <w:rFonts w:ascii="Arial" w:hAnsi="Arial"/>
                <w:color w:val="000000"/>
                <w:sz w:val="20"/>
                <w:szCs w:val="20"/>
              </w:rPr>
              <w:t>50 000 dollars</w:t>
            </w:r>
            <w:r w:rsidR="00521E0D">
              <w:rPr>
                <w:rFonts w:ascii="Arial" w:hAnsi="Arial"/>
                <w:color w:val="000000"/>
                <w:sz w:val="20"/>
                <w:szCs w:val="20"/>
              </w:rPr>
              <w:br/>
            </w:r>
            <w:r>
              <w:rPr>
                <w:rFonts w:ascii="Arial" w:hAnsi="Arial"/>
                <w:color w:val="000000"/>
                <w:sz w:val="20"/>
                <w:szCs w:val="20"/>
              </w:rPr>
              <w:t>des États-Unis</w:t>
            </w:r>
          </w:p>
        </w:tc>
      </w:tr>
      <w:tr w:rsidR="00591733" w:rsidRPr="00620606" w14:paraId="14781DF0" w14:textId="77777777" w:rsidTr="007F4EEE">
        <w:trPr>
          <w:cantSplit/>
        </w:trPr>
        <w:tc>
          <w:tcPr>
            <w:tcW w:w="6720" w:type="dxa"/>
            <w:vAlign w:val="center"/>
          </w:tcPr>
          <w:p w14:paraId="3280AC39" w14:textId="77777777" w:rsidR="00591733" w:rsidRDefault="00591733" w:rsidP="009462BD">
            <w:pPr>
              <w:spacing w:before="60" w:after="60"/>
              <w:rPr>
                <w:rFonts w:ascii="Arial" w:hAnsi="Arial" w:cs="Arial"/>
                <w:color w:val="000000"/>
                <w:sz w:val="20"/>
                <w:szCs w:val="20"/>
              </w:rPr>
            </w:pPr>
            <w:r>
              <w:rPr>
                <w:rFonts w:ascii="Arial" w:hAnsi="Arial"/>
                <w:color w:val="000000"/>
                <w:sz w:val="20"/>
                <w:szCs w:val="20"/>
              </w:rPr>
              <w:t>Finlande</w:t>
            </w:r>
          </w:p>
        </w:tc>
        <w:tc>
          <w:tcPr>
            <w:tcW w:w="2352" w:type="dxa"/>
            <w:vAlign w:val="center"/>
          </w:tcPr>
          <w:p w14:paraId="0D5BC3ED" w14:textId="77777777" w:rsidR="00591733" w:rsidRDefault="007A47E4" w:rsidP="007F4EEE">
            <w:pPr>
              <w:spacing w:before="60" w:after="60"/>
              <w:jc w:val="right"/>
              <w:rPr>
                <w:rFonts w:ascii="Arial" w:hAnsi="Arial" w:cs="Arial"/>
                <w:color w:val="000000"/>
                <w:sz w:val="20"/>
                <w:szCs w:val="20"/>
              </w:rPr>
            </w:pPr>
            <w:r>
              <w:rPr>
                <w:rFonts w:ascii="Arial" w:hAnsi="Arial"/>
                <w:color w:val="000000"/>
                <w:sz w:val="20"/>
                <w:szCs w:val="20"/>
              </w:rPr>
              <w:t>2 628 dollars</w:t>
            </w:r>
            <w:r w:rsidR="00521E0D">
              <w:rPr>
                <w:rFonts w:ascii="Arial" w:hAnsi="Arial"/>
                <w:color w:val="000000"/>
                <w:sz w:val="20"/>
                <w:szCs w:val="20"/>
              </w:rPr>
              <w:br/>
            </w:r>
            <w:r>
              <w:rPr>
                <w:rFonts w:ascii="Arial" w:hAnsi="Arial"/>
                <w:color w:val="000000"/>
                <w:sz w:val="20"/>
                <w:szCs w:val="20"/>
              </w:rPr>
              <w:t>des États-Unis</w:t>
            </w:r>
          </w:p>
        </w:tc>
      </w:tr>
      <w:tr w:rsidR="00A02CFD" w:rsidRPr="00620606" w14:paraId="132D960B" w14:textId="77777777" w:rsidTr="007F4EEE">
        <w:trPr>
          <w:cantSplit/>
        </w:trPr>
        <w:tc>
          <w:tcPr>
            <w:tcW w:w="6720" w:type="dxa"/>
            <w:vAlign w:val="center"/>
          </w:tcPr>
          <w:p w14:paraId="5F213490" w14:textId="77777777" w:rsidR="00A02CFD" w:rsidRDefault="00A02CFD" w:rsidP="009462BD">
            <w:pPr>
              <w:spacing w:before="60" w:after="60"/>
              <w:rPr>
                <w:rFonts w:ascii="Arial" w:hAnsi="Arial"/>
                <w:color w:val="000000"/>
                <w:sz w:val="20"/>
                <w:szCs w:val="20"/>
              </w:rPr>
            </w:pPr>
            <w:r>
              <w:rPr>
                <w:rFonts w:ascii="Arial" w:hAnsi="Arial"/>
                <w:color w:val="000000"/>
                <w:sz w:val="20"/>
                <w:szCs w:val="20"/>
              </w:rPr>
              <w:t>Kazakhstan</w:t>
            </w:r>
          </w:p>
        </w:tc>
        <w:tc>
          <w:tcPr>
            <w:tcW w:w="2352" w:type="dxa"/>
            <w:vAlign w:val="center"/>
          </w:tcPr>
          <w:p w14:paraId="17EA50E1" w14:textId="77777777" w:rsidR="00A02CFD" w:rsidRDefault="00A02CFD" w:rsidP="007F4EEE">
            <w:pPr>
              <w:spacing w:before="60" w:after="60"/>
              <w:jc w:val="right"/>
              <w:rPr>
                <w:rFonts w:ascii="Arial" w:hAnsi="Arial"/>
                <w:color w:val="000000"/>
                <w:sz w:val="20"/>
                <w:szCs w:val="20"/>
              </w:rPr>
            </w:pPr>
            <w:r>
              <w:rPr>
                <w:rFonts w:ascii="Arial" w:hAnsi="Arial"/>
                <w:color w:val="000000"/>
                <w:sz w:val="20"/>
                <w:szCs w:val="20"/>
              </w:rPr>
              <w:t>10 000 dollars</w:t>
            </w:r>
            <w:r w:rsidR="00521E0D">
              <w:rPr>
                <w:rFonts w:ascii="Arial" w:hAnsi="Arial"/>
                <w:color w:val="000000"/>
                <w:sz w:val="20"/>
                <w:szCs w:val="20"/>
              </w:rPr>
              <w:br/>
            </w:r>
            <w:r>
              <w:rPr>
                <w:rFonts w:ascii="Arial" w:hAnsi="Arial"/>
                <w:color w:val="000000"/>
                <w:sz w:val="20"/>
                <w:szCs w:val="20"/>
              </w:rPr>
              <w:t>des États-Unis</w:t>
            </w:r>
          </w:p>
        </w:tc>
      </w:tr>
      <w:tr w:rsidR="00591733" w:rsidRPr="00591733" w14:paraId="7D60C443" w14:textId="77777777" w:rsidTr="007F4EEE">
        <w:trPr>
          <w:cantSplit/>
        </w:trPr>
        <w:tc>
          <w:tcPr>
            <w:tcW w:w="6720" w:type="dxa"/>
            <w:vAlign w:val="center"/>
          </w:tcPr>
          <w:p w14:paraId="56E1D05A" w14:textId="77777777" w:rsidR="00591733" w:rsidRDefault="00591733" w:rsidP="009462BD">
            <w:pPr>
              <w:spacing w:before="60" w:after="60"/>
              <w:rPr>
                <w:rFonts w:ascii="Arial" w:hAnsi="Arial" w:cs="Arial"/>
                <w:color w:val="000000"/>
                <w:sz w:val="20"/>
                <w:szCs w:val="20"/>
              </w:rPr>
            </w:pPr>
            <w:r>
              <w:rPr>
                <w:rFonts w:ascii="Arial" w:hAnsi="Arial"/>
                <w:color w:val="000000"/>
                <w:sz w:val="20"/>
                <w:szCs w:val="20"/>
              </w:rPr>
              <w:t>Monténégro</w:t>
            </w:r>
          </w:p>
        </w:tc>
        <w:tc>
          <w:tcPr>
            <w:tcW w:w="2352" w:type="dxa"/>
            <w:vAlign w:val="center"/>
          </w:tcPr>
          <w:p w14:paraId="3002FAEB" w14:textId="77777777" w:rsidR="00591733" w:rsidRPr="00591733" w:rsidRDefault="00A02CFD" w:rsidP="007F4EEE">
            <w:pPr>
              <w:spacing w:before="60" w:after="60"/>
              <w:jc w:val="right"/>
              <w:rPr>
                <w:rFonts w:ascii="Arial" w:hAnsi="Arial" w:cs="Arial"/>
                <w:color w:val="000000"/>
                <w:sz w:val="20"/>
                <w:szCs w:val="20"/>
                <w:highlight w:val="yellow"/>
              </w:rPr>
            </w:pPr>
            <w:r w:rsidRPr="00521E0D">
              <w:rPr>
                <w:rFonts w:ascii="Arial" w:hAnsi="Arial"/>
                <w:color w:val="000000"/>
                <w:sz w:val="20"/>
                <w:szCs w:val="20"/>
              </w:rPr>
              <w:t>2 288</w:t>
            </w:r>
            <w:r w:rsidR="00591733" w:rsidRPr="00521E0D">
              <w:rPr>
                <w:rFonts w:ascii="Arial" w:hAnsi="Arial"/>
                <w:color w:val="000000"/>
                <w:sz w:val="20"/>
                <w:szCs w:val="20"/>
              </w:rPr>
              <w:t> dollars</w:t>
            </w:r>
            <w:r w:rsidR="00521E0D" w:rsidRPr="00521E0D">
              <w:rPr>
                <w:rFonts w:ascii="Arial" w:hAnsi="Arial"/>
                <w:color w:val="000000"/>
                <w:sz w:val="20"/>
                <w:szCs w:val="20"/>
              </w:rPr>
              <w:br/>
            </w:r>
            <w:r w:rsidR="00591733" w:rsidRPr="00521E0D">
              <w:rPr>
                <w:rFonts w:ascii="Arial" w:hAnsi="Arial"/>
                <w:color w:val="000000"/>
                <w:sz w:val="20"/>
                <w:szCs w:val="20"/>
              </w:rPr>
              <w:t>des États-Unis</w:t>
            </w:r>
          </w:p>
        </w:tc>
      </w:tr>
    </w:tbl>
    <w:p w14:paraId="045635B4" w14:textId="77777777" w:rsidR="00591733" w:rsidRDefault="00591733" w:rsidP="00591733">
      <w:pPr>
        <w:spacing w:before="360" w:after="60"/>
        <w:rPr>
          <w:rFonts w:ascii="Arial" w:hAnsi="Arial" w:cs="Arial"/>
          <w:b/>
          <w:smallCaps/>
          <w:color w:val="000000"/>
          <w:sz w:val="22"/>
          <w:szCs w:val="22"/>
        </w:rPr>
      </w:pPr>
      <w:r>
        <w:rPr>
          <w:rFonts w:ascii="Arial" w:hAnsi="Arial"/>
          <w:b/>
          <w:smallCaps/>
          <w:color w:val="000000"/>
          <w:sz w:val="22"/>
          <w:szCs w:val="22"/>
        </w:rPr>
        <w:t>Fonds-en-d</w:t>
      </w:r>
      <w:r w:rsidR="00D921DC" w:rsidRPr="00416CA9">
        <w:rPr>
          <w:rFonts w:ascii="Arial" w:hAnsi="Arial" w:cs="Arial"/>
          <w:b/>
          <w:smallCaps/>
          <w:color w:val="000000"/>
          <w:sz w:val="18"/>
          <w:szCs w:val="18"/>
        </w:rPr>
        <w:t>É</w:t>
      </w:r>
      <w:r>
        <w:rPr>
          <w:rFonts w:ascii="Arial" w:hAnsi="Arial"/>
          <w:b/>
          <w:smallCaps/>
          <w:color w:val="000000"/>
          <w:sz w:val="22"/>
          <w:szCs w:val="22"/>
        </w:rPr>
        <w:t>pôt</w:t>
      </w:r>
    </w:p>
    <w:tbl>
      <w:tblPr>
        <w:tblW w:w="8935" w:type="dxa"/>
        <w:tblInd w:w="709" w:type="dxa"/>
        <w:tblLook w:val="04A0" w:firstRow="1" w:lastRow="0" w:firstColumn="1" w:lastColumn="0" w:noHBand="0" w:noVBand="1"/>
      </w:tblPr>
      <w:tblGrid>
        <w:gridCol w:w="6605"/>
        <w:gridCol w:w="2330"/>
      </w:tblGrid>
      <w:tr w:rsidR="00591733" w:rsidRPr="00C75E87" w14:paraId="46637E47" w14:textId="77777777" w:rsidTr="007F4EEE">
        <w:trPr>
          <w:cantSplit/>
        </w:trPr>
        <w:tc>
          <w:tcPr>
            <w:tcW w:w="6605" w:type="dxa"/>
            <w:vAlign w:val="center"/>
          </w:tcPr>
          <w:p w14:paraId="7A56FB80" w14:textId="77777777" w:rsidR="00591733" w:rsidRPr="009426E5" w:rsidRDefault="00591733" w:rsidP="009462BD">
            <w:pPr>
              <w:spacing w:before="60" w:after="60"/>
              <w:rPr>
                <w:rFonts w:ascii="Arial" w:hAnsi="Arial" w:cs="Arial"/>
                <w:color w:val="000000"/>
                <w:sz w:val="20"/>
                <w:szCs w:val="20"/>
              </w:rPr>
            </w:pPr>
            <w:r>
              <w:rPr>
                <w:rFonts w:ascii="Arial" w:hAnsi="Arial"/>
                <w:color w:val="000000"/>
                <w:sz w:val="20"/>
                <w:szCs w:val="20"/>
              </w:rPr>
              <w:t>Belgique (Flandre)</w:t>
            </w:r>
          </w:p>
        </w:tc>
        <w:tc>
          <w:tcPr>
            <w:tcW w:w="2330" w:type="dxa"/>
            <w:vAlign w:val="center"/>
          </w:tcPr>
          <w:p w14:paraId="75FB57C8" w14:textId="77777777" w:rsidR="00591733" w:rsidRPr="009426E5" w:rsidRDefault="00591733" w:rsidP="007F4EEE">
            <w:pPr>
              <w:spacing w:before="60" w:after="60"/>
              <w:jc w:val="right"/>
              <w:rPr>
                <w:rFonts w:ascii="Arial" w:hAnsi="Arial" w:cs="Arial"/>
                <w:color w:val="000000"/>
                <w:sz w:val="20"/>
                <w:szCs w:val="20"/>
              </w:rPr>
            </w:pPr>
            <w:r>
              <w:rPr>
                <w:rFonts w:ascii="Arial" w:hAnsi="Arial"/>
                <w:color w:val="000000"/>
                <w:sz w:val="20"/>
                <w:szCs w:val="20"/>
              </w:rPr>
              <w:t>117 467 dollars</w:t>
            </w:r>
            <w:r w:rsidR="007F4EEE">
              <w:rPr>
                <w:rFonts w:ascii="Arial" w:hAnsi="Arial"/>
                <w:color w:val="000000"/>
                <w:sz w:val="20"/>
                <w:szCs w:val="20"/>
              </w:rPr>
              <w:br/>
            </w:r>
            <w:r>
              <w:rPr>
                <w:rFonts w:ascii="Arial" w:hAnsi="Arial"/>
                <w:color w:val="000000"/>
                <w:sz w:val="20"/>
                <w:szCs w:val="20"/>
              </w:rPr>
              <w:t>des États-Unis</w:t>
            </w:r>
          </w:p>
        </w:tc>
      </w:tr>
    </w:tbl>
    <w:p w14:paraId="71F055E9" w14:textId="77777777" w:rsidR="00591733" w:rsidRPr="00C75E87" w:rsidRDefault="00591733" w:rsidP="00591733">
      <w:pPr>
        <w:spacing w:before="360" w:after="60"/>
        <w:rPr>
          <w:rFonts w:ascii="Arial" w:hAnsi="Arial" w:cs="Arial"/>
          <w:b/>
          <w:smallCaps/>
          <w:color w:val="000000"/>
          <w:sz w:val="22"/>
          <w:szCs w:val="22"/>
        </w:rPr>
      </w:pPr>
      <w:r>
        <w:rPr>
          <w:rFonts w:ascii="Arial" w:hAnsi="Arial"/>
          <w:b/>
          <w:smallCaps/>
          <w:color w:val="000000"/>
          <w:sz w:val="22"/>
          <w:szCs w:val="22"/>
        </w:rPr>
        <w:t>Pr</w:t>
      </w:r>
      <w:r w:rsidR="00D921DC" w:rsidRPr="002A5D3D">
        <w:rPr>
          <w:rFonts w:ascii="Arial" w:hAnsi="Arial" w:cs="Arial"/>
          <w:b/>
          <w:smallCaps/>
          <w:color w:val="000000"/>
          <w:sz w:val="18"/>
          <w:szCs w:val="18"/>
        </w:rPr>
        <w:t>Ê</w:t>
      </w:r>
      <w:r>
        <w:rPr>
          <w:rFonts w:ascii="Arial" w:hAnsi="Arial"/>
          <w:b/>
          <w:smallCaps/>
          <w:color w:val="000000"/>
          <w:sz w:val="22"/>
          <w:szCs w:val="22"/>
        </w:rPr>
        <w:t>ts et d</w:t>
      </w:r>
      <w:r w:rsidR="00D921DC" w:rsidRPr="00416CA9">
        <w:rPr>
          <w:rFonts w:ascii="Arial" w:hAnsi="Arial" w:cs="Arial"/>
          <w:b/>
          <w:smallCaps/>
          <w:color w:val="000000"/>
          <w:sz w:val="18"/>
          <w:szCs w:val="18"/>
        </w:rPr>
        <w:t>É</w:t>
      </w:r>
      <w:r>
        <w:rPr>
          <w:rFonts w:ascii="Arial" w:hAnsi="Arial"/>
          <w:b/>
          <w:smallCaps/>
          <w:color w:val="000000"/>
          <w:sz w:val="22"/>
          <w:szCs w:val="22"/>
        </w:rPr>
        <w:t>tachements</w:t>
      </w:r>
    </w:p>
    <w:tbl>
      <w:tblPr>
        <w:tblW w:w="8935" w:type="dxa"/>
        <w:tblInd w:w="709" w:type="dxa"/>
        <w:tblLook w:val="04A0" w:firstRow="1" w:lastRow="0" w:firstColumn="1" w:lastColumn="0" w:noHBand="0" w:noVBand="1"/>
      </w:tblPr>
      <w:tblGrid>
        <w:gridCol w:w="6605"/>
        <w:gridCol w:w="2330"/>
      </w:tblGrid>
      <w:tr w:rsidR="00591733" w:rsidRPr="00C75E87" w14:paraId="3FFD4EFB" w14:textId="77777777" w:rsidTr="007F4EEE">
        <w:trPr>
          <w:cantSplit/>
        </w:trPr>
        <w:tc>
          <w:tcPr>
            <w:tcW w:w="6605" w:type="dxa"/>
            <w:vAlign w:val="center"/>
            <w:hideMark/>
          </w:tcPr>
          <w:p w14:paraId="2C1CCFF8" w14:textId="77777777" w:rsidR="00591733" w:rsidRPr="00C75E87" w:rsidRDefault="00591733" w:rsidP="009462BD">
            <w:pPr>
              <w:spacing w:before="60" w:after="60"/>
              <w:rPr>
                <w:rFonts w:ascii="Arial" w:hAnsi="Arial" w:cs="Arial"/>
                <w:color w:val="000000"/>
                <w:sz w:val="20"/>
                <w:szCs w:val="20"/>
              </w:rPr>
            </w:pPr>
            <w:r>
              <w:rPr>
                <w:rFonts w:ascii="Arial" w:hAnsi="Arial"/>
                <w:color w:val="000000"/>
                <w:sz w:val="20"/>
                <w:szCs w:val="20"/>
              </w:rPr>
              <w:t>Chine</w:t>
            </w:r>
          </w:p>
        </w:tc>
        <w:tc>
          <w:tcPr>
            <w:tcW w:w="2330" w:type="dxa"/>
            <w:vAlign w:val="center"/>
            <w:hideMark/>
          </w:tcPr>
          <w:p w14:paraId="68632E8A" w14:textId="77777777" w:rsidR="00591733" w:rsidRPr="00C75E87" w:rsidRDefault="00591733" w:rsidP="009462BD">
            <w:pPr>
              <w:spacing w:before="60" w:after="60"/>
              <w:jc w:val="right"/>
              <w:rPr>
                <w:rFonts w:ascii="Arial" w:hAnsi="Arial" w:cs="Arial"/>
                <w:color w:val="000000"/>
                <w:sz w:val="20"/>
                <w:szCs w:val="20"/>
              </w:rPr>
            </w:pPr>
            <w:r>
              <w:rPr>
                <w:rFonts w:ascii="Arial" w:hAnsi="Arial"/>
                <w:color w:val="000000"/>
                <w:sz w:val="20"/>
                <w:szCs w:val="20"/>
              </w:rPr>
              <w:t>12 mois au niveau P-2</w:t>
            </w:r>
          </w:p>
        </w:tc>
      </w:tr>
      <w:tr w:rsidR="00ED3A9D" w:rsidRPr="00C75E87" w14:paraId="1B70177E" w14:textId="77777777" w:rsidTr="007F4EEE">
        <w:trPr>
          <w:cantSplit/>
        </w:trPr>
        <w:tc>
          <w:tcPr>
            <w:tcW w:w="6605" w:type="dxa"/>
            <w:vAlign w:val="center"/>
          </w:tcPr>
          <w:p w14:paraId="73CBCDC5" w14:textId="77777777" w:rsidR="00ED3A9D" w:rsidRPr="00C75E87" w:rsidRDefault="00ED3A9D" w:rsidP="009462BD">
            <w:pPr>
              <w:spacing w:before="60" w:after="60"/>
              <w:rPr>
                <w:rFonts w:ascii="Arial" w:hAnsi="Arial" w:cs="Arial"/>
                <w:color w:val="000000"/>
                <w:sz w:val="20"/>
                <w:szCs w:val="20"/>
              </w:rPr>
            </w:pPr>
            <w:r>
              <w:rPr>
                <w:rFonts w:ascii="Arial" w:hAnsi="Arial"/>
                <w:color w:val="000000"/>
                <w:sz w:val="20"/>
                <w:szCs w:val="20"/>
              </w:rPr>
              <w:t>Japon</w:t>
            </w:r>
          </w:p>
        </w:tc>
        <w:tc>
          <w:tcPr>
            <w:tcW w:w="2330" w:type="dxa"/>
            <w:vAlign w:val="center"/>
          </w:tcPr>
          <w:p w14:paraId="6CA1EF8E" w14:textId="77777777" w:rsidR="00ED3A9D" w:rsidRPr="00C75E87" w:rsidRDefault="00ED3A9D" w:rsidP="009462BD">
            <w:pPr>
              <w:spacing w:before="60" w:after="60"/>
              <w:jc w:val="right"/>
              <w:rPr>
                <w:rFonts w:ascii="Arial" w:hAnsi="Arial" w:cs="Arial"/>
                <w:color w:val="000000"/>
                <w:sz w:val="20"/>
                <w:szCs w:val="20"/>
              </w:rPr>
            </w:pPr>
            <w:r>
              <w:rPr>
                <w:rFonts w:ascii="Arial" w:hAnsi="Arial"/>
                <w:color w:val="000000"/>
                <w:sz w:val="20"/>
                <w:szCs w:val="20"/>
              </w:rPr>
              <w:t>4 mois au niveau P-2</w:t>
            </w:r>
          </w:p>
        </w:tc>
      </w:tr>
      <w:tr w:rsidR="00591733" w:rsidRPr="00C75E87" w14:paraId="5DF23283" w14:textId="77777777" w:rsidTr="007F4EEE">
        <w:trPr>
          <w:cantSplit/>
        </w:trPr>
        <w:tc>
          <w:tcPr>
            <w:tcW w:w="6605" w:type="dxa"/>
            <w:vAlign w:val="center"/>
          </w:tcPr>
          <w:p w14:paraId="36420ED2" w14:textId="77777777" w:rsidR="00591733" w:rsidRPr="00C75E87" w:rsidRDefault="007F4EEE" w:rsidP="009462BD">
            <w:pPr>
              <w:spacing w:before="60" w:after="60"/>
              <w:rPr>
                <w:rFonts w:ascii="Arial" w:hAnsi="Arial" w:cs="Arial"/>
                <w:color w:val="000000"/>
                <w:sz w:val="20"/>
                <w:szCs w:val="20"/>
              </w:rPr>
            </w:pPr>
            <w:r>
              <w:rPr>
                <w:rFonts w:ascii="Arial" w:hAnsi="Arial"/>
                <w:color w:val="000000"/>
                <w:sz w:val="20"/>
                <w:szCs w:val="20"/>
              </w:rPr>
              <w:t>Singapour</w:t>
            </w:r>
          </w:p>
        </w:tc>
        <w:tc>
          <w:tcPr>
            <w:tcW w:w="2330" w:type="dxa"/>
            <w:vAlign w:val="center"/>
          </w:tcPr>
          <w:p w14:paraId="1F3F6429" w14:textId="29A5A2B6" w:rsidR="00591733" w:rsidRPr="00C75E87" w:rsidRDefault="007F4EEE" w:rsidP="009462BD">
            <w:pPr>
              <w:spacing w:before="60" w:after="60"/>
              <w:jc w:val="right"/>
              <w:rPr>
                <w:rFonts w:ascii="Arial" w:hAnsi="Arial" w:cs="Arial"/>
                <w:color w:val="000000"/>
                <w:sz w:val="20"/>
                <w:szCs w:val="20"/>
              </w:rPr>
            </w:pPr>
            <w:r>
              <w:rPr>
                <w:rFonts w:ascii="Arial" w:hAnsi="Arial"/>
                <w:color w:val="000000"/>
                <w:sz w:val="20"/>
                <w:szCs w:val="20"/>
              </w:rPr>
              <w:t>2</w:t>
            </w:r>
            <w:r w:rsidR="00591733">
              <w:rPr>
                <w:rFonts w:ascii="Arial" w:hAnsi="Arial"/>
                <w:color w:val="000000"/>
                <w:sz w:val="20"/>
                <w:szCs w:val="20"/>
              </w:rPr>
              <w:t xml:space="preserve"> mois au niveau P-2</w:t>
            </w:r>
          </w:p>
        </w:tc>
      </w:tr>
    </w:tbl>
    <w:p w14:paraId="2F88BF95" w14:textId="77777777" w:rsidR="001B3B6E" w:rsidRDefault="001B3B6E">
      <w:pPr>
        <w:rPr>
          <w:rFonts w:ascii="Arial" w:eastAsia="SimSun" w:hAnsi="Arial" w:cs="Arial"/>
          <w:b/>
          <w:sz w:val="22"/>
          <w:szCs w:val="22"/>
          <w:u w:val="single"/>
        </w:rPr>
      </w:pPr>
      <w:r>
        <w:rPr>
          <w:b/>
        </w:rPr>
        <w:br w:type="page"/>
      </w:r>
    </w:p>
    <w:p w14:paraId="2C2A7180" w14:textId="77777777" w:rsidR="00D57B41" w:rsidRDefault="001B3B6E" w:rsidP="002A5D3D">
      <w:pPr>
        <w:pStyle w:val="COMParaDecision"/>
        <w:numPr>
          <w:ilvl w:val="0"/>
          <w:numId w:val="0"/>
        </w:numPr>
        <w:jc w:val="center"/>
        <w:rPr>
          <w:b/>
        </w:rPr>
      </w:pPr>
      <w:r>
        <w:rPr>
          <w:b/>
        </w:rPr>
        <w:lastRenderedPageBreak/>
        <w:t>ANNEXE II</w:t>
      </w:r>
    </w:p>
    <w:p w14:paraId="73510214" w14:textId="77777777" w:rsidR="001B3B6E" w:rsidRPr="00F56499" w:rsidRDefault="001B3B6E" w:rsidP="001B3B6E">
      <w:pPr>
        <w:shd w:val="clear" w:color="auto" w:fill="FFFFFF"/>
        <w:spacing w:before="400" w:after="400"/>
        <w:jc w:val="center"/>
        <w:rPr>
          <w:rFonts w:ascii="Arial" w:hAnsi="Arial" w:cs="Arial"/>
          <w:i/>
          <w:sz w:val="22"/>
          <w:szCs w:val="22"/>
        </w:rPr>
      </w:pPr>
      <w:r w:rsidRPr="00F56499">
        <w:rPr>
          <w:rFonts w:ascii="Arial" w:hAnsi="Arial" w:cs="Arial"/>
          <w:i/>
          <w:sz w:val="22"/>
          <w:szCs w:val="22"/>
        </w:rPr>
        <w:t>Original en anglais, traduction par le Secrétariat</w:t>
      </w:r>
    </w:p>
    <w:p w14:paraId="05C9BD85" w14:textId="77777777" w:rsidR="001B3B6E" w:rsidRPr="00F56499" w:rsidRDefault="001B3B6E" w:rsidP="001B3B6E">
      <w:pPr>
        <w:shd w:val="clear" w:color="auto" w:fill="FFFFFF"/>
        <w:spacing w:after="225"/>
        <w:jc w:val="center"/>
        <w:rPr>
          <w:rFonts w:ascii="Arial" w:hAnsi="Arial" w:cs="Arial"/>
          <w:b/>
          <w:bCs/>
          <w:u w:val="single"/>
        </w:rPr>
      </w:pPr>
      <w:r>
        <w:rPr>
          <w:bCs/>
          <w:caps/>
          <w:noProof/>
          <w:lang w:val="en-US" w:eastAsia="ko-KR"/>
        </w:rPr>
        <w:drawing>
          <wp:inline distT="0" distB="0" distL="0" distR="0" wp14:anchorId="6AA8DB42" wp14:editId="6AF0646A">
            <wp:extent cx="6114809" cy="18002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sting mechanisms Japan earmarked contribution_20181022_Page_1.png"/>
                    <pic:cNvPicPr/>
                  </pic:nvPicPr>
                  <pic:blipFill rotWithShape="1">
                    <a:blip r:embed="rId30" cstate="print">
                      <a:extLst>
                        <a:ext uri="{28A0092B-C50C-407E-A947-70E740481C1C}">
                          <a14:useLocalDpi xmlns:a14="http://schemas.microsoft.com/office/drawing/2010/main" val="0"/>
                        </a:ext>
                      </a:extLst>
                    </a:blip>
                    <a:srcRect l="5848" t="3283" r="5848" b="78320"/>
                    <a:stretch/>
                  </pic:blipFill>
                  <pic:spPr bwMode="auto">
                    <a:xfrm>
                      <a:off x="0" y="0"/>
                      <a:ext cx="6120000" cy="1801753"/>
                    </a:xfrm>
                    <a:prstGeom prst="rect">
                      <a:avLst/>
                    </a:prstGeom>
                    <a:ln>
                      <a:noFill/>
                    </a:ln>
                    <a:extLst>
                      <a:ext uri="{53640926-AAD7-44D8-BBD7-CCE9431645EC}">
                        <a14:shadowObscured xmlns:a14="http://schemas.microsoft.com/office/drawing/2010/main"/>
                      </a:ext>
                    </a:extLst>
                  </pic:spPr>
                </pic:pic>
              </a:graphicData>
            </a:graphic>
          </wp:inline>
        </w:drawing>
      </w:r>
    </w:p>
    <w:p w14:paraId="27783B5C" w14:textId="77777777" w:rsidR="001B3B6E" w:rsidRPr="00F56499" w:rsidRDefault="001B3B6E" w:rsidP="001B3B6E">
      <w:pPr>
        <w:shd w:val="clear" w:color="auto" w:fill="FFFFFF"/>
        <w:spacing w:after="360"/>
        <w:ind w:left="709" w:right="566"/>
        <w:jc w:val="right"/>
        <w:rPr>
          <w:rFonts w:ascii="Arial" w:hAnsi="Arial" w:cs="Arial"/>
          <w:bCs/>
          <w:sz w:val="22"/>
          <w:szCs w:val="22"/>
        </w:rPr>
      </w:pPr>
      <w:r w:rsidRPr="00F56499">
        <w:rPr>
          <w:rFonts w:ascii="Arial" w:hAnsi="Arial" w:cs="Arial"/>
          <w:bCs/>
          <w:sz w:val="22"/>
          <w:szCs w:val="22"/>
        </w:rPr>
        <w:t>22 octobre 2018</w:t>
      </w:r>
    </w:p>
    <w:p w14:paraId="4A89FA0F" w14:textId="77777777" w:rsidR="001B3B6E" w:rsidRPr="00F56499" w:rsidRDefault="001B3B6E" w:rsidP="001B3B6E">
      <w:pPr>
        <w:shd w:val="clear" w:color="auto" w:fill="FFFFFF"/>
        <w:spacing w:after="720"/>
        <w:ind w:left="709" w:right="566"/>
        <w:rPr>
          <w:rFonts w:ascii="Arial" w:hAnsi="Arial" w:cs="Arial"/>
          <w:bCs/>
          <w:sz w:val="22"/>
          <w:szCs w:val="22"/>
        </w:rPr>
      </w:pPr>
      <w:r w:rsidRPr="00F56499">
        <w:rPr>
          <w:rFonts w:ascii="Arial" w:hAnsi="Arial" w:cs="Arial"/>
          <w:bCs/>
          <w:sz w:val="22"/>
          <w:szCs w:val="22"/>
        </w:rPr>
        <w:t>383/18</w:t>
      </w:r>
    </w:p>
    <w:p w14:paraId="2A4AEFC9" w14:textId="77777777" w:rsidR="001B3B6E" w:rsidRPr="00F56499" w:rsidRDefault="00A93AA8" w:rsidP="001B3B6E">
      <w:pPr>
        <w:shd w:val="clear" w:color="auto" w:fill="FFFFFF"/>
        <w:spacing w:after="720"/>
        <w:ind w:left="709" w:right="566"/>
        <w:rPr>
          <w:rFonts w:ascii="Arial" w:hAnsi="Arial" w:cs="Arial"/>
          <w:bCs/>
          <w:sz w:val="22"/>
          <w:szCs w:val="22"/>
        </w:rPr>
      </w:pPr>
      <w:r>
        <w:rPr>
          <w:rFonts w:ascii="Arial" w:hAnsi="Arial" w:cs="Arial"/>
          <w:bCs/>
          <w:sz w:val="22"/>
          <w:szCs w:val="22"/>
        </w:rPr>
        <w:t>Cher Monsieur Curtis,</w:t>
      </w:r>
    </w:p>
    <w:p w14:paraId="17DDBFCC" w14:textId="77777777" w:rsidR="001B3B6E" w:rsidRPr="00F56499" w:rsidRDefault="001B3B6E" w:rsidP="001B3B6E">
      <w:pPr>
        <w:shd w:val="clear" w:color="auto" w:fill="FFFFFF"/>
        <w:spacing w:after="240"/>
        <w:ind w:left="709" w:right="566"/>
        <w:jc w:val="both"/>
        <w:rPr>
          <w:rFonts w:ascii="Arial" w:hAnsi="Arial" w:cs="Arial"/>
          <w:bCs/>
          <w:sz w:val="22"/>
          <w:szCs w:val="22"/>
        </w:rPr>
      </w:pPr>
      <w:r w:rsidRPr="00F56499">
        <w:rPr>
          <w:rFonts w:ascii="Arial" w:hAnsi="Arial" w:cs="Arial"/>
          <w:bCs/>
          <w:sz w:val="22"/>
          <w:szCs w:val="22"/>
        </w:rPr>
        <w:t xml:space="preserve">En référence à votre lettre en date du 19 octobre 2018 (réf. CLT/CRE/ITH/18/294), j’ai le plaisir de vous transmettre la lettre ci-jointe de la part de M. Takio Yamada, Ambassadeur extraordinaire et plénipotentiaire, Délégué permanent du Japon auprès de l’UNESCO, adressée à M. Ernesto Ottone R., Sous-Directeur général pour la culture de l’UNESCO, concernant la contribution volontaire au Fonds pour la sauvegarde du </w:t>
      </w:r>
      <w:r>
        <w:rPr>
          <w:rFonts w:ascii="Arial" w:hAnsi="Arial" w:cs="Arial"/>
          <w:bCs/>
          <w:sz w:val="22"/>
          <w:szCs w:val="22"/>
        </w:rPr>
        <w:t>patrimoine culturel immatériel.</w:t>
      </w:r>
    </w:p>
    <w:p w14:paraId="3113BD6B" w14:textId="77777777" w:rsidR="001B3B6E" w:rsidRPr="00F56499" w:rsidRDefault="001B3B6E" w:rsidP="001B3B6E">
      <w:pPr>
        <w:shd w:val="clear" w:color="auto" w:fill="FFFFFF"/>
        <w:spacing w:after="720"/>
        <w:ind w:left="709" w:right="566"/>
        <w:jc w:val="both"/>
        <w:rPr>
          <w:rFonts w:ascii="Arial" w:hAnsi="Arial" w:cs="Arial"/>
          <w:bCs/>
          <w:sz w:val="22"/>
          <w:szCs w:val="22"/>
        </w:rPr>
      </w:pPr>
      <w:r w:rsidRPr="00F56499">
        <w:rPr>
          <w:rFonts w:ascii="Arial" w:hAnsi="Arial" w:cs="Arial"/>
          <w:bCs/>
          <w:sz w:val="22"/>
          <w:szCs w:val="22"/>
        </w:rPr>
        <w:t>Je vous prie d’agréer, Monsieur, mes sincères salutations.</w:t>
      </w:r>
    </w:p>
    <w:p w14:paraId="5D567036" w14:textId="77777777" w:rsidR="001B3B6E" w:rsidRPr="00F56499" w:rsidRDefault="001B3B6E" w:rsidP="001B3B6E">
      <w:pPr>
        <w:shd w:val="clear" w:color="auto" w:fill="FFFFFF"/>
        <w:spacing w:after="480"/>
        <w:ind w:left="5245" w:right="566"/>
        <w:rPr>
          <w:rFonts w:ascii="Arial" w:hAnsi="Arial" w:cs="Arial"/>
          <w:bCs/>
          <w:sz w:val="22"/>
          <w:szCs w:val="22"/>
        </w:rPr>
      </w:pPr>
      <w:r w:rsidRPr="00F56499">
        <w:rPr>
          <w:rFonts w:ascii="Arial" w:hAnsi="Arial" w:cs="Arial"/>
          <w:bCs/>
          <w:sz w:val="22"/>
          <w:szCs w:val="22"/>
        </w:rPr>
        <w:t>[Signé]</w:t>
      </w:r>
    </w:p>
    <w:p w14:paraId="581BA640" w14:textId="77777777" w:rsidR="001B3B6E" w:rsidRPr="00F56499" w:rsidRDefault="001B3B6E" w:rsidP="001B3B6E">
      <w:pPr>
        <w:shd w:val="clear" w:color="auto" w:fill="FFFFFF"/>
        <w:ind w:left="5245" w:right="566"/>
        <w:rPr>
          <w:rFonts w:ascii="Arial" w:hAnsi="Arial" w:cs="Arial"/>
          <w:bCs/>
          <w:sz w:val="22"/>
          <w:szCs w:val="22"/>
        </w:rPr>
      </w:pPr>
      <w:r w:rsidRPr="00F56499">
        <w:rPr>
          <w:rFonts w:ascii="Arial" w:hAnsi="Arial" w:cs="Arial"/>
          <w:bCs/>
          <w:sz w:val="22"/>
          <w:szCs w:val="22"/>
        </w:rPr>
        <w:t>Koji KITAYAMA</w:t>
      </w:r>
    </w:p>
    <w:p w14:paraId="37C5CEE6" w14:textId="77777777" w:rsidR="001B3B6E" w:rsidRPr="00F56499" w:rsidRDefault="001B3B6E" w:rsidP="001B3B6E">
      <w:pPr>
        <w:shd w:val="clear" w:color="auto" w:fill="FFFFFF"/>
        <w:ind w:left="5245" w:right="566"/>
        <w:rPr>
          <w:rFonts w:ascii="Arial" w:hAnsi="Arial" w:cs="Arial"/>
          <w:bCs/>
          <w:sz w:val="22"/>
          <w:szCs w:val="22"/>
        </w:rPr>
      </w:pPr>
      <w:r w:rsidRPr="00F56499">
        <w:rPr>
          <w:rFonts w:ascii="Arial" w:hAnsi="Arial" w:cs="Arial"/>
          <w:bCs/>
          <w:sz w:val="22"/>
          <w:szCs w:val="22"/>
        </w:rPr>
        <w:t>Ministre</w:t>
      </w:r>
    </w:p>
    <w:p w14:paraId="3A9F2BBD" w14:textId="77777777" w:rsidR="001B3B6E" w:rsidRPr="00F56499" w:rsidRDefault="001B3B6E" w:rsidP="001B3B6E">
      <w:pPr>
        <w:shd w:val="clear" w:color="auto" w:fill="FFFFFF"/>
        <w:ind w:left="5245" w:right="566"/>
        <w:rPr>
          <w:rFonts w:ascii="Arial" w:hAnsi="Arial" w:cs="Arial"/>
          <w:bCs/>
          <w:sz w:val="22"/>
          <w:szCs w:val="22"/>
        </w:rPr>
      </w:pPr>
      <w:r w:rsidRPr="00F56499">
        <w:rPr>
          <w:rFonts w:ascii="Arial" w:hAnsi="Arial" w:cs="Arial"/>
          <w:bCs/>
          <w:sz w:val="22"/>
          <w:szCs w:val="22"/>
        </w:rPr>
        <w:t xml:space="preserve">Délégué permanent adjoint </w:t>
      </w:r>
    </w:p>
    <w:p w14:paraId="075DD7DE" w14:textId="77777777" w:rsidR="001B3B6E" w:rsidRPr="00F56499" w:rsidRDefault="001B3B6E" w:rsidP="001B3B6E">
      <w:pPr>
        <w:shd w:val="clear" w:color="auto" w:fill="FFFFFF"/>
        <w:spacing w:after="960"/>
        <w:ind w:left="5245" w:right="566"/>
        <w:rPr>
          <w:rFonts w:ascii="Arial" w:hAnsi="Arial" w:cs="Arial"/>
          <w:bCs/>
          <w:sz w:val="22"/>
          <w:szCs w:val="22"/>
        </w:rPr>
      </w:pPr>
      <w:r w:rsidRPr="00F56499">
        <w:rPr>
          <w:rFonts w:ascii="Arial" w:hAnsi="Arial" w:cs="Arial"/>
          <w:bCs/>
          <w:sz w:val="22"/>
          <w:szCs w:val="22"/>
        </w:rPr>
        <w:t>du Japon auprès de l’UNESCO</w:t>
      </w:r>
    </w:p>
    <w:p w14:paraId="362F09D6" w14:textId="77777777" w:rsidR="001B3B6E" w:rsidRPr="00F56499" w:rsidRDefault="001B3B6E" w:rsidP="001B3B6E">
      <w:pPr>
        <w:shd w:val="clear" w:color="auto" w:fill="FFFFFF"/>
        <w:ind w:left="709" w:right="566"/>
        <w:rPr>
          <w:rFonts w:ascii="Arial" w:hAnsi="Arial" w:cs="Arial"/>
          <w:bCs/>
          <w:sz w:val="22"/>
          <w:szCs w:val="22"/>
        </w:rPr>
      </w:pPr>
      <w:r w:rsidRPr="00F56499">
        <w:rPr>
          <w:rFonts w:ascii="Arial" w:hAnsi="Arial" w:cs="Arial"/>
          <w:bCs/>
          <w:sz w:val="22"/>
          <w:szCs w:val="22"/>
        </w:rPr>
        <w:t>M. Tim CURTIS</w:t>
      </w:r>
    </w:p>
    <w:p w14:paraId="45991455" w14:textId="77777777" w:rsidR="001B3B6E" w:rsidRPr="00F56499" w:rsidRDefault="001B3B6E" w:rsidP="001B3B6E">
      <w:pPr>
        <w:shd w:val="clear" w:color="auto" w:fill="FFFFFF"/>
        <w:ind w:left="709" w:right="566"/>
        <w:rPr>
          <w:rFonts w:ascii="Arial" w:hAnsi="Arial" w:cs="Arial"/>
          <w:bCs/>
          <w:sz w:val="22"/>
          <w:szCs w:val="22"/>
        </w:rPr>
      </w:pPr>
      <w:r w:rsidRPr="00F56499">
        <w:rPr>
          <w:rFonts w:ascii="Arial" w:hAnsi="Arial" w:cs="Arial"/>
          <w:bCs/>
          <w:sz w:val="22"/>
          <w:szCs w:val="22"/>
        </w:rPr>
        <w:t>Chef</w:t>
      </w:r>
    </w:p>
    <w:p w14:paraId="1CADE68F" w14:textId="77777777" w:rsidR="001B3B6E" w:rsidRPr="00F56499" w:rsidRDefault="001B3B6E" w:rsidP="001B3B6E">
      <w:pPr>
        <w:shd w:val="clear" w:color="auto" w:fill="FFFFFF"/>
        <w:ind w:left="709" w:right="566"/>
        <w:rPr>
          <w:rFonts w:ascii="Arial" w:hAnsi="Arial" w:cs="Arial"/>
          <w:bCs/>
          <w:sz w:val="22"/>
          <w:szCs w:val="22"/>
        </w:rPr>
      </w:pPr>
      <w:r w:rsidRPr="00F56499">
        <w:rPr>
          <w:rFonts w:ascii="Arial" w:hAnsi="Arial" w:cs="Arial"/>
          <w:bCs/>
          <w:sz w:val="22"/>
          <w:szCs w:val="22"/>
        </w:rPr>
        <w:t>Section du patrimoine culturel immatériel</w:t>
      </w:r>
    </w:p>
    <w:p w14:paraId="5672C215" w14:textId="77777777" w:rsidR="001B3B6E" w:rsidRPr="002A5D3D" w:rsidRDefault="001B3B6E" w:rsidP="001B3B6E">
      <w:pPr>
        <w:shd w:val="clear" w:color="auto" w:fill="FFFFFF"/>
        <w:ind w:left="709" w:right="566"/>
        <w:rPr>
          <w:rFonts w:ascii="Arial" w:hAnsi="Arial" w:cs="Arial"/>
          <w:bCs/>
          <w:sz w:val="22"/>
          <w:szCs w:val="22"/>
        </w:rPr>
      </w:pPr>
      <w:r w:rsidRPr="002A5D3D">
        <w:rPr>
          <w:rFonts w:ascii="Arial" w:hAnsi="Arial" w:cs="Arial"/>
          <w:bCs/>
          <w:sz w:val="22"/>
          <w:szCs w:val="22"/>
        </w:rPr>
        <w:t>UNESCO</w:t>
      </w:r>
    </w:p>
    <w:p w14:paraId="0B8C7A12" w14:textId="77777777" w:rsidR="001B3B6E" w:rsidRPr="002A5D3D" w:rsidRDefault="001B3B6E" w:rsidP="001B3B6E">
      <w:pPr>
        <w:spacing w:after="200" w:line="276" w:lineRule="auto"/>
        <w:rPr>
          <w:rFonts w:ascii="Arial" w:hAnsi="Arial" w:cs="Arial"/>
          <w:bCs/>
          <w:sz w:val="22"/>
          <w:szCs w:val="22"/>
        </w:rPr>
      </w:pPr>
      <w:r w:rsidRPr="002A5D3D">
        <w:rPr>
          <w:rFonts w:ascii="Arial" w:hAnsi="Arial" w:cs="Arial"/>
          <w:bCs/>
          <w:sz w:val="22"/>
          <w:szCs w:val="22"/>
        </w:rPr>
        <w:br w:type="page"/>
      </w:r>
    </w:p>
    <w:p w14:paraId="2733C13C" w14:textId="77777777" w:rsidR="00A93AA8" w:rsidRPr="002A5D3D" w:rsidRDefault="00A93AA8" w:rsidP="00A93AA8">
      <w:pPr>
        <w:shd w:val="clear" w:color="auto" w:fill="FFFFFF"/>
        <w:ind w:left="567" w:right="566"/>
        <w:rPr>
          <w:rFonts w:ascii="Arial" w:hAnsi="Arial" w:cs="Arial"/>
          <w:b/>
          <w:bCs/>
          <w:sz w:val="22"/>
          <w:szCs w:val="22"/>
          <w:u w:val="single"/>
        </w:rPr>
      </w:pPr>
    </w:p>
    <w:p w14:paraId="0788D339" w14:textId="77777777" w:rsidR="001B3B6E" w:rsidRPr="002A5D3D" w:rsidRDefault="001B3B6E" w:rsidP="00A93AA8">
      <w:pPr>
        <w:shd w:val="clear" w:color="auto" w:fill="FFFFFF"/>
        <w:spacing w:before="960" w:after="240"/>
        <w:ind w:left="567" w:right="566"/>
        <w:rPr>
          <w:rFonts w:ascii="Arial" w:hAnsi="Arial" w:cs="Arial"/>
          <w:sz w:val="22"/>
          <w:szCs w:val="22"/>
        </w:rPr>
      </w:pPr>
      <w:r w:rsidRPr="002A5D3D">
        <w:rPr>
          <w:rFonts w:ascii="Arial" w:hAnsi="Arial" w:cs="Arial"/>
          <w:b/>
          <w:bCs/>
          <w:sz w:val="22"/>
          <w:szCs w:val="22"/>
          <w:u w:val="single"/>
        </w:rPr>
        <w:t>À</w:t>
      </w:r>
      <w:r w:rsidRPr="002A5D3D">
        <w:rPr>
          <w:rFonts w:ascii="Arial" w:hAnsi="Arial" w:cs="Arial"/>
          <w:b/>
          <w:bCs/>
          <w:sz w:val="22"/>
          <w:szCs w:val="22"/>
        </w:rPr>
        <w:t>:</w:t>
      </w:r>
    </w:p>
    <w:p w14:paraId="271BDC91" w14:textId="77777777" w:rsidR="001B3B6E" w:rsidRPr="002A5D3D" w:rsidRDefault="001B3B6E" w:rsidP="001B3B6E">
      <w:pPr>
        <w:shd w:val="clear" w:color="auto" w:fill="FFFFFF"/>
        <w:spacing w:after="240"/>
        <w:ind w:left="567" w:right="566"/>
        <w:rPr>
          <w:rFonts w:ascii="Arial" w:hAnsi="Arial" w:cs="Arial"/>
          <w:sz w:val="22"/>
          <w:szCs w:val="22"/>
        </w:rPr>
      </w:pPr>
      <w:r w:rsidRPr="002A5D3D">
        <w:rPr>
          <w:rFonts w:ascii="Arial" w:hAnsi="Arial" w:cs="Arial"/>
          <w:sz w:val="22"/>
          <w:szCs w:val="22"/>
        </w:rPr>
        <w:t>M. Ernesto OTTONE R.</w:t>
      </w:r>
    </w:p>
    <w:p w14:paraId="72E97C9E" w14:textId="77777777" w:rsidR="001B3B6E" w:rsidRPr="00F56499" w:rsidRDefault="001B3B6E" w:rsidP="001B3B6E">
      <w:pPr>
        <w:shd w:val="clear" w:color="auto" w:fill="FFFFFF"/>
        <w:spacing w:after="240"/>
        <w:ind w:left="567" w:right="566"/>
        <w:rPr>
          <w:rFonts w:ascii="Arial" w:hAnsi="Arial" w:cs="Arial"/>
          <w:sz w:val="22"/>
          <w:szCs w:val="22"/>
        </w:rPr>
      </w:pPr>
      <w:r w:rsidRPr="00F56499">
        <w:rPr>
          <w:rFonts w:ascii="Arial" w:hAnsi="Arial" w:cs="Arial"/>
          <w:sz w:val="22"/>
          <w:szCs w:val="22"/>
        </w:rPr>
        <w:t>Sous-Directeur général</w:t>
      </w:r>
      <w:r w:rsidRPr="00F56499">
        <w:rPr>
          <w:rFonts w:ascii="Arial" w:hAnsi="Arial" w:cs="Arial"/>
          <w:sz w:val="22"/>
          <w:szCs w:val="22"/>
        </w:rPr>
        <w:br/>
        <w:t xml:space="preserve">Secteur de la culture </w:t>
      </w:r>
      <w:r w:rsidRPr="00F56499">
        <w:rPr>
          <w:rFonts w:ascii="Arial" w:hAnsi="Arial" w:cs="Arial"/>
          <w:sz w:val="22"/>
          <w:szCs w:val="22"/>
        </w:rPr>
        <w:br/>
        <w:t>Organisation des Nations Unies pour l’éducation, la science et la culture</w:t>
      </w:r>
      <w:r w:rsidRPr="00F56499">
        <w:rPr>
          <w:rFonts w:ascii="Arial" w:hAnsi="Arial" w:cs="Arial"/>
          <w:sz w:val="22"/>
          <w:szCs w:val="22"/>
        </w:rPr>
        <w:br/>
        <w:t>7, place de Fo</w:t>
      </w:r>
      <w:r>
        <w:rPr>
          <w:rFonts w:ascii="Arial" w:hAnsi="Arial" w:cs="Arial"/>
          <w:sz w:val="22"/>
          <w:szCs w:val="22"/>
        </w:rPr>
        <w:t>ntenoy</w:t>
      </w:r>
      <w:r>
        <w:rPr>
          <w:rFonts w:ascii="Arial" w:hAnsi="Arial" w:cs="Arial"/>
          <w:sz w:val="22"/>
          <w:szCs w:val="22"/>
        </w:rPr>
        <w:br/>
        <w:t>75352 Paris 07 SP</w:t>
      </w:r>
      <w:r>
        <w:rPr>
          <w:rFonts w:ascii="Arial" w:hAnsi="Arial" w:cs="Arial"/>
          <w:sz w:val="22"/>
          <w:szCs w:val="22"/>
        </w:rPr>
        <w:br/>
        <w:t>France</w:t>
      </w:r>
    </w:p>
    <w:p w14:paraId="025EA05B" w14:textId="77777777" w:rsidR="001B3B6E" w:rsidRPr="00F56499" w:rsidRDefault="001B3B6E" w:rsidP="00A93AA8">
      <w:pPr>
        <w:shd w:val="clear" w:color="auto" w:fill="FFFFFF"/>
        <w:spacing w:before="1800" w:after="360"/>
        <w:ind w:left="567" w:right="566"/>
        <w:jc w:val="both"/>
        <w:rPr>
          <w:rFonts w:ascii="Arial" w:hAnsi="Arial" w:cs="Arial"/>
          <w:sz w:val="22"/>
          <w:szCs w:val="22"/>
        </w:rPr>
      </w:pPr>
      <w:r w:rsidRPr="00F56499">
        <w:rPr>
          <w:rFonts w:ascii="Arial" w:hAnsi="Arial" w:cs="Arial"/>
          <w:b/>
          <w:bCs/>
          <w:sz w:val="22"/>
          <w:szCs w:val="22"/>
        </w:rPr>
        <w:t>Objet :</w:t>
      </w:r>
      <w:r w:rsidRPr="00F56499">
        <w:rPr>
          <w:rFonts w:ascii="Arial" w:hAnsi="Arial" w:cs="Arial"/>
          <w:b/>
          <w:bCs/>
          <w:sz w:val="22"/>
          <w:szCs w:val="22"/>
        </w:rPr>
        <w:tab/>
        <w:t>Contribution volontaire affectée à des fins spécifiques en faveur du Fonds pour la sauvegarde du patrimoine culturel immatériel</w:t>
      </w:r>
    </w:p>
    <w:p w14:paraId="033A665B" w14:textId="77777777" w:rsidR="001B3B6E" w:rsidRPr="00F56499" w:rsidRDefault="001B3B6E" w:rsidP="001B3B6E">
      <w:pPr>
        <w:shd w:val="clear" w:color="auto" w:fill="FFFFFF"/>
        <w:spacing w:after="120"/>
        <w:ind w:left="567" w:right="566"/>
        <w:jc w:val="both"/>
        <w:rPr>
          <w:rFonts w:ascii="Arial" w:hAnsi="Arial" w:cs="Arial"/>
          <w:sz w:val="22"/>
          <w:szCs w:val="22"/>
        </w:rPr>
      </w:pPr>
      <w:bookmarkStart w:id="1" w:name="_DV_M21"/>
      <w:bookmarkEnd w:id="1"/>
      <w:r w:rsidRPr="00F56499">
        <w:rPr>
          <w:rFonts w:ascii="Arial" w:hAnsi="Arial" w:cs="Arial"/>
          <w:sz w:val="22"/>
          <w:szCs w:val="22"/>
        </w:rPr>
        <w:t>Cher M. Ottone,</w:t>
      </w:r>
    </w:p>
    <w:p w14:paraId="72755360" w14:textId="77777777" w:rsidR="001B3B6E" w:rsidRPr="00F56499" w:rsidRDefault="001B3B6E" w:rsidP="001B3B6E">
      <w:pPr>
        <w:shd w:val="clear" w:color="auto" w:fill="FFFFFF"/>
        <w:spacing w:after="120"/>
        <w:ind w:left="567" w:right="566"/>
        <w:jc w:val="both"/>
        <w:rPr>
          <w:rFonts w:ascii="Arial" w:hAnsi="Arial" w:cs="Arial"/>
          <w:sz w:val="22"/>
          <w:szCs w:val="22"/>
        </w:rPr>
      </w:pPr>
      <w:r w:rsidRPr="00F56499">
        <w:rPr>
          <w:rFonts w:ascii="Arial" w:hAnsi="Arial" w:cs="Arial"/>
          <w:sz w:val="22"/>
          <w:szCs w:val="22"/>
        </w:rPr>
        <w:t>Lors de sa douzième session en décembre 2017, le Comité intergouvernemental de sauvegarde du patrimoine culturel immatériel a reconnu la nécessité d’organiser un groupe de travail intergouvernemental à composition non limitée « afin de réfléchir, entre autres, aux procédures pour le retrait d’un élément d’une liste et le transfert d’une liste à l’autre, à la nature et aux objectifs des listes et du registre établis par la Convention et à la pertinence des différents critères pour chacun de ces mécanismes […] » (décision 12.COM 14). En juin dernier, la septième session de l’Assemblée générale des États parties à la Convention a souligné l’importance de mener à bien cette réflexion.</w:t>
      </w:r>
    </w:p>
    <w:p w14:paraId="1A0C820F" w14:textId="77777777" w:rsidR="001B3B6E" w:rsidRPr="00F56499" w:rsidRDefault="001B3B6E" w:rsidP="001B3B6E">
      <w:pPr>
        <w:shd w:val="clear" w:color="auto" w:fill="FFFFFF"/>
        <w:spacing w:after="120"/>
        <w:ind w:left="567" w:right="566"/>
        <w:jc w:val="both"/>
        <w:rPr>
          <w:rFonts w:ascii="Arial" w:hAnsi="Arial" w:cs="Arial"/>
          <w:sz w:val="22"/>
          <w:szCs w:val="22"/>
        </w:rPr>
      </w:pPr>
      <w:r w:rsidRPr="00F56499">
        <w:rPr>
          <w:rFonts w:ascii="Arial" w:hAnsi="Arial" w:cs="Arial"/>
          <w:sz w:val="22"/>
          <w:szCs w:val="22"/>
        </w:rPr>
        <w:t xml:space="preserve">Le gouvernement du Japon a le plaisir d’apporter une contribution de 267 238 dollars des États-Unis (ci-après dénommée la « contribution financière ») </w:t>
      </w:r>
      <w:r w:rsidRPr="00F56499">
        <w:rPr>
          <w:rStyle w:val="hps"/>
          <w:rFonts w:ascii="Arial" w:hAnsi="Arial" w:cs="Arial"/>
          <w:sz w:val="22"/>
          <w:szCs w:val="22"/>
        </w:rPr>
        <w:t>à la Convention pour</w:t>
      </w:r>
      <w:r w:rsidRPr="00F56499">
        <w:rPr>
          <w:rFonts w:ascii="Arial" w:hAnsi="Arial" w:cs="Arial"/>
          <w:sz w:val="22"/>
          <w:szCs w:val="22"/>
        </w:rPr>
        <w:t xml:space="preserve"> </w:t>
      </w:r>
      <w:r w:rsidRPr="00F56499">
        <w:rPr>
          <w:rStyle w:val="hps"/>
          <w:rFonts w:ascii="Arial" w:hAnsi="Arial" w:cs="Arial"/>
          <w:sz w:val="22"/>
          <w:szCs w:val="22"/>
        </w:rPr>
        <w:t>la sauvegarde du</w:t>
      </w:r>
      <w:r w:rsidRPr="00F56499">
        <w:rPr>
          <w:rFonts w:ascii="Arial" w:hAnsi="Arial" w:cs="Arial"/>
          <w:sz w:val="22"/>
          <w:szCs w:val="22"/>
        </w:rPr>
        <w:t xml:space="preserve"> </w:t>
      </w:r>
      <w:r w:rsidRPr="00F56499">
        <w:rPr>
          <w:rStyle w:val="hps"/>
          <w:rFonts w:ascii="Arial" w:hAnsi="Arial" w:cs="Arial"/>
          <w:sz w:val="22"/>
          <w:szCs w:val="22"/>
        </w:rPr>
        <w:t>patrimoine culturel immatériel</w:t>
      </w:r>
      <w:r w:rsidRPr="00F56499">
        <w:rPr>
          <w:rFonts w:ascii="Arial" w:hAnsi="Arial" w:cs="Arial"/>
          <w:sz w:val="22"/>
          <w:szCs w:val="22"/>
        </w:rPr>
        <w:t xml:space="preserve"> </w:t>
      </w:r>
      <w:r w:rsidRPr="00F56499">
        <w:rPr>
          <w:rStyle w:val="hps"/>
          <w:rFonts w:ascii="Arial" w:hAnsi="Arial" w:cs="Arial"/>
          <w:sz w:val="22"/>
          <w:szCs w:val="22"/>
        </w:rPr>
        <w:t>(ci-après</w:t>
      </w:r>
      <w:r w:rsidRPr="00F56499">
        <w:rPr>
          <w:rFonts w:ascii="Arial" w:hAnsi="Arial" w:cs="Arial"/>
          <w:sz w:val="22"/>
          <w:szCs w:val="22"/>
        </w:rPr>
        <w:t xml:space="preserve"> </w:t>
      </w:r>
      <w:r w:rsidRPr="00F56499">
        <w:rPr>
          <w:rStyle w:val="hps"/>
          <w:rFonts w:ascii="Arial" w:hAnsi="Arial" w:cs="Arial"/>
          <w:sz w:val="22"/>
          <w:szCs w:val="22"/>
        </w:rPr>
        <w:t>dénommée le « Programme »</w:t>
      </w:r>
      <w:r w:rsidRPr="00F56499">
        <w:rPr>
          <w:rFonts w:ascii="Arial" w:hAnsi="Arial" w:cs="Arial"/>
          <w:sz w:val="22"/>
          <w:szCs w:val="22"/>
        </w:rPr>
        <w:t>) pour soutenir ce processus de réflexion. Nous formons le vœu que cette contribution puisse, tout d’abord, permettre l’organisation d’une réunion préliminaire d’experts (provisoirement prévue pour 2019) et aussi, soutenir la réunion du groupe de travail intergouvernemental à composition non limitée (provisoirement prévue pour 2021).</w:t>
      </w:r>
    </w:p>
    <w:p w14:paraId="6CE632EB" w14:textId="77777777" w:rsidR="001B3B6E" w:rsidRPr="00F56499" w:rsidRDefault="001B3B6E" w:rsidP="001B3B6E">
      <w:pPr>
        <w:shd w:val="clear" w:color="auto" w:fill="FFFFFF"/>
        <w:spacing w:after="120"/>
        <w:ind w:left="567" w:right="566"/>
        <w:jc w:val="both"/>
        <w:rPr>
          <w:rFonts w:ascii="Arial" w:hAnsi="Arial" w:cs="Arial"/>
          <w:sz w:val="22"/>
          <w:szCs w:val="22"/>
        </w:rPr>
      </w:pPr>
      <w:r w:rsidRPr="00F56499">
        <w:rPr>
          <w:rFonts w:ascii="Arial" w:hAnsi="Arial" w:cs="Arial"/>
          <w:sz w:val="22"/>
          <w:szCs w:val="22"/>
        </w:rPr>
        <w:t>Nous considérons que le siège de l’UNESCO à Paris constitue le lieu le plus adapté pour ces deux réunions, à des dates mutuellement acceptables pour l’UNESCO et pour le gouvernement du Japon.</w:t>
      </w:r>
    </w:p>
    <w:p w14:paraId="563C476C" w14:textId="77777777" w:rsidR="001B3B6E" w:rsidRPr="00F56499" w:rsidRDefault="001B3B6E" w:rsidP="001B3B6E">
      <w:pPr>
        <w:shd w:val="clear" w:color="auto" w:fill="FFFFFF"/>
        <w:spacing w:after="120"/>
        <w:ind w:left="567" w:right="566"/>
        <w:jc w:val="both"/>
        <w:rPr>
          <w:rFonts w:ascii="Arial" w:hAnsi="Arial" w:cs="Arial"/>
          <w:sz w:val="22"/>
          <w:szCs w:val="22"/>
        </w:rPr>
      </w:pPr>
      <w:r w:rsidRPr="00F56499">
        <w:rPr>
          <w:rFonts w:ascii="Arial" w:hAnsi="Arial" w:cs="Arial"/>
          <w:sz w:val="22"/>
          <w:szCs w:val="22"/>
        </w:rPr>
        <w:t>Par conséquent, j’apprécierais que vous portiez à l’attention de la treizième session du Comité, notre proposition de contribution volontaire supplémentaire au Fonds du patrimoine culturel immatériel, conformément à l’article 25.5 de la Convention. Dans le cas où cette contribution serait accueillie favorablement par le Comité intergouvernemental, je comprends que celle-ci sera créditée au Compte spécial pour le Fonds pour la sauvegarde du patrimoine culturel immatériel et qu’elle sera régie par son règlement financier.</w:t>
      </w:r>
    </w:p>
    <w:p w14:paraId="618CE35B" w14:textId="77777777" w:rsidR="001B3B6E" w:rsidRPr="00F56499" w:rsidRDefault="001B3B6E" w:rsidP="001B3B6E">
      <w:pPr>
        <w:shd w:val="clear" w:color="auto" w:fill="FFFFFF"/>
        <w:spacing w:after="120"/>
        <w:ind w:left="567" w:right="566"/>
        <w:jc w:val="both"/>
        <w:rPr>
          <w:rFonts w:ascii="Arial" w:hAnsi="Arial" w:cs="Arial"/>
          <w:sz w:val="22"/>
          <w:szCs w:val="22"/>
        </w:rPr>
      </w:pPr>
      <w:r w:rsidRPr="00F56499">
        <w:rPr>
          <w:rFonts w:ascii="Arial" w:hAnsi="Arial" w:cs="Arial"/>
          <w:sz w:val="22"/>
          <w:szCs w:val="22"/>
        </w:rPr>
        <w:t xml:space="preserve">Le gouvernement du Japon est informé que la contribution financière sera déposée sur le Fonds pour la sauvegarde du patrimoine culturel immatériel (ci-après dénommé « le </w:t>
      </w:r>
      <w:r w:rsidRPr="00F56499">
        <w:rPr>
          <w:rFonts w:ascii="Arial" w:hAnsi="Arial" w:cs="Arial"/>
          <w:sz w:val="22"/>
          <w:szCs w:val="22"/>
        </w:rPr>
        <w:lastRenderedPageBreak/>
        <w:t xml:space="preserve">Fonds ») géré par l’UNESCO pour soutenir le Programme susmentionné. Le règlement financier du Fonds figure en annexe 1 du présent accord. </w:t>
      </w:r>
    </w:p>
    <w:p w14:paraId="74FB1430" w14:textId="77777777" w:rsidR="001B3B6E" w:rsidRPr="00A93AA8" w:rsidRDefault="001B3B6E" w:rsidP="001B3B6E">
      <w:pPr>
        <w:shd w:val="clear" w:color="auto" w:fill="FFFFFF"/>
        <w:spacing w:after="120"/>
        <w:ind w:left="567" w:right="566"/>
        <w:jc w:val="both"/>
        <w:rPr>
          <w:rFonts w:ascii="Arial" w:hAnsi="Arial" w:cs="Arial"/>
          <w:bCs/>
          <w:sz w:val="22"/>
          <w:szCs w:val="22"/>
        </w:rPr>
      </w:pPr>
      <w:r w:rsidRPr="00A93AA8">
        <w:rPr>
          <w:rFonts w:ascii="Arial" w:hAnsi="Arial" w:cs="Arial"/>
          <w:bCs/>
          <w:sz w:val="22"/>
          <w:szCs w:val="22"/>
        </w:rPr>
        <w:t>Le gouvernement du Japon accepte de verser la contribution financière à l’UNESCO sous réserve que l’UNESCO :</w:t>
      </w:r>
    </w:p>
    <w:p w14:paraId="5F42787C" w14:textId="77777777" w:rsidR="001B3B6E" w:rsidRPr="00F56499" w:rsidRDefault="001B3B6E" w:rsidP="001B3B6E">
      <w:pPr>
        <w:numPr>
          <w:ilvl w:val="0"/>
          <w:numId w:val="36"/>
        </w:numPr>
        <w:shd w:val="clear" w:color="auto" w:fill="FFFFFF"/>
        <w:spacing w:after="120"/>
        <w:ind w:left="1134" w:right="566" w:hanging="567"/>
        <w:jc w:val="both"/>
        <w:rPr>
          <w:rFonts w:ascii="Arial" w:hAnsi="Arial" w:cs="Arial"/>
          <w:sz w:val="22"/>
          <w:szCs w:val="22"/>
        </w:rPr>
      </w:pPr>
      <w:r w:rsidRPr="00F56499">
        <w:rPr>
          <w:rFonts w:ascii="Arial" w:hAnsi="Arial" w:cs="Arial"/>
          <w:sz w:val="22"/>
          <w:szCs w:val="22"/>
        </w:rPr>
        <w:t>utilise la contribution financière aux fins prévues pour soutenir l’organisation d’une réunion du groupe de travail intergouvernemental à composition non limitée, en référence à la décision 12.COM 14, et pour l’organisation d’une réunion préliminaire d’experts en préparation de cette réunion ;</w:t>
      </w:r>
    </w:p>
    <w:p w14:paraId="1415216A" w14:textId="77777777" w:rsidR="001B3B6E" w:rsidRPr="00F56499" w:rsidRDefault="001B3B6E" w:rsidP="001B3B6E">
      <w:pPr>
        <w:numPr>
          <w:ilvl w:val="0"/>
          <w:numId w:val="36"/>
        </w:numPr>
        <w:shd w:val="clear" w:color="auto" w:fill="FFFFFF"/>
        <w:spacing w:after="120"/>
        <w:ind w:left="1134" w:right="566" w:hanging="567"/>
        <w:jc w:val="both"/>
        <w:rPr>
          <w:rFonts w:ascii="Arial" w:hAnsi="Arial" w:cs="Arial"/>
          <w:sz w:val="22"/>
          <w:szCs w:val="22"/>
        </w:rPr>
      </w:pPr>
      <w:r w:rsidRPr="00F56499">
        <w:rPr>
          <w:rFonts w:ascii="Arial" w:hAnsi="Arial" w:cs="Arial"/>
          <w:sz w:val="22"/>
          <w:szCs w:val="22"/>
        </w:rPr>
        <w:t>remette au gouvernement du Japon</w:t>
      </w:r>
      <w:r w:rsidRPr="00F56499">
        <w:rPr>
          <w:rFonts w:ascii="Arial" w:hAnsi="Arial" w:cs="Arial"/>
          <w:bCs/>
          <w:sz w:val="22"/>
          <w:szCs w:val="22"/>
        </w:rPr>
        <w:t>, sur demande,</w:t>
      </w:r>
      <w:r w:rsidRPr="00F56499">
        <w:rPr>
          <w:rFonts w:ascii="Arial" w:hAnsi="Arial" w:cs="Arial"/>
          <w:sz w:val="22"/>
          <w:szCs w:val="22"/>
        </w:rPr>
        <w:t xml:space="preserve"> un accusé de réception spécifiant que la contribution financière sera utilisée aux fins prévues pour l’organisation d’une réunion préliminaire d’experts et pour soutenir l’organisation d’une réunion du groupe de travail intergouvernemental à composition non limitée, en référence à la décision 12.COM 14 ;</w:t>
      </w:r>
    </w:p>
    <w:p w14:paraId="09AF965C" w14:textId="77777777" w:rsidR="001B3B6E" w:rsidRPr="00F56499" w:rsidRDefault="001B3B6E" w:rsidP="001B3B6E">
      <w:pPr>
        <w:numPr>
          <w:ilvl w:val="0"/>
          <w:numId w:val="36"/>
        </w:numPr>
        <w:shd w:val="clear" w:color="auto" w:fill="FFFFFF"/>
        <w:spacing w:after="120"/>
        <w:ind w:left="1134" w:right="566" w:hanging="567"/>
        <w:jc w:val="both"/>
        <w:rPr>
          <w:rFonts w:ascii="Arial" w:hAnsi="Arial" w:cs="Arial"/>
          <w:sz w:val="22"/>
          <w:szCs w:val="22"/>
        </w:rPr>
      </w:pPr>
      <w:r w:rsidRPr="00F56499">
        <w:rPr>
          <w:rFonts w:ascii="Arial" w:hAnsi="Arial" w:cs="Arial"/>
          <w:sz w:val="22"/>
          <w:szCs w:val="22"/>
        </w:rPr>
        <w:t>fournisse un rapport financier consolidé du Fonds ainsi qu’un rapport narratif sur les progrès accomplis dans l’exécution des activités mises en œuvre par l’intermédiaire du Fonds, conformément aux procédures de l’UNESCO concernant les contributions multi-donateurs créditées à un compte spécial. Ces rapports auront le même format que ceux présentés aux Organes directeurs de la Convention ;</w:t>
      </w:r>
    </w:p>
    <w:p w14:paraId="3027F966" w14:textId="77777777" w:rsidR="001B3B6E" w:rsidRPr="00F56499" w:rsidRDefault="001B3B6E" w:rsidP="001B3B6E">
      <w:pPr>
        <w:numPr>
          <w:ilvl w:val="0"/>
          <w:numId w:val="36"/>
        </w:numPr>
        <w:shd w:val="clear" w:color="auto" w:fill="FFFFFF"/>
        <w:spacing w:after="120"/>
        <w:ind w:left="1134" w:right="566" w:hanging="567"/>
        <w:jc w:val="both"/>
        <w:rPr>
          <w:rFonts w:ascii="Arial" w:hAnsi="Arial" w:cs="Arial"/>
          <w:sz w:val="22"/>
          <w:szCs w:val="22"/>
        </w:rPr>
      </w:pPr>
      <w:r w:rsidRPr="00F56499">
        <w:rPr>
          <w:rFonts w:ascii="Arial" w:hAnsi="Arial" w:cs="Arial"/>
          <w:sz w:val="22"/>
          <w:szCs w:val="22"/>
        </w:rPr>
        <w:t>fournisse un rapport narratif final et un rapport financier consolidé final au gouvernement du Japon à la fin du Programme et à la clôture du Fonds afférent.</w:t>
      </w:r>
    </w:p>
    <w:p w14:paraId="08979DD1" w14:textId="77777777" w:rsidR="001B3B6E" w:rsidRPr="00F56499" w:rsidRDefault="001B3B6E" w:rsidP="00A93AA8">
      <w:pPr>
        <w:shd w:val="clear" w:color="auto" w:fill="FFFFFF"/>
        <w:spacing w:after="120"/>
        <w:ind w:left="567" w:right="566"/>
        <w:jc w:val="both"/>
        <w:rPr>
          <w:rFonts w:ascii="Arial" w:hAnsi="Arial" w:cs="Arial"/>
          <w:sz w:val="22"/>
          <w:szCs w:val="22"/>
        </w:rPr>
      </w:pPr>
      <w:r w:rsidRPr="00F56499">
        <w:rPr>
          <w:rFonts w:ascii="Arial" w:hAnsi="Arial" w:cs="Arial"/>
          <w:sz w:val="22"/>
          <w:szCs w:val="22"/>
        </w:rPr>
        <w:t xml:space="preserve">Le gouvernement du Japon est informé que conformément aux procédures de l’UNESCO relatives aux contributions multi-donateurs dans le cadre d’un Compte spécial, le solde inutilisé qui pourrait subsister à la clôture du Fonds sera restitué aux </w:t>
      </w:r>
      <w:r w:rsidR="00F313BE">
        <w:rPr>
          <w:rFonts w:ascii="Arial" w:hAnsi="Arial" w:cs="Arial"/>
          <w:sz w:val="22"/>
          <w:szCs w:val="22"/>
        </w:rPr>
        <w:t>donateurs</w:t>
      </w:r>
      <w:r w:rsidRPr="00F56499">
        <w:rPr>
          <w:rFonts w:ascii="Arial" w:hAnsi="Arial" w:cs="Arial"/>
          <w:sz w:val="22"/>
          <w:szCs w:val="22"/>
        </w:rPr>
        <w:t xml:space="preserve"> ayant versé une contribution à ce compte au cours des quatre dernières années, au prorata de leur contribution et sans toutefois dépasser le montant total reçu de la part de chaque </w:t>
      </w:r>
      <w:r w:rsidR="00F313BE">
        <w:rPr>
          <w:rFonts w:ascii="Arial" w:hAnsi="Arial" w:cs="Arial"/>
          <w:sz w:val="22"/>
          <w:szCs w:val="22"/>
        </w:rPr>
        <w:t>donateur</w:t>
      </w:r>
      <w:r w:rsidRPr="00F56499">
        <w:rPr>
          <w:rFonts w:ascii="Arial" w:hAnsi="Arial" w:cs="Arial"/>
          <w:sz w:val="22"/>
          <w:szCs w:val="22"/>
        </w:rPr>
        <w:t>.</w:t>
      </w:r>
    </w:p>
    <w:p w14:paraId="3B8E13A6" w14:textId="77777777" w:rsidR="001B3B6E" w:rsidRPr="00F56499" w:rsidRDefault="001B3B6E" w:rsidP="00A93AA8">
      <w:pPr>
        <w:shd w:val="clear" w:color="auto" w:fill="FFFFFF"/>
        <w:spacing w:after="120"/>
        <w:ind w:left="567" w:right="566"/>
        <w:jc w:val="both"/>
        <w:rPr>
          <w:rFonts w:ascii="Arial" w:hAnsi="Arial" w:cs="Arial"/>
          <w:sz w:val="22"/>
          <w:szCs w:val="22"/>
        </w:rPr>
      </w:pPr>
      <w:r w:rsidRPr="00F56499">
        <w:rPr>
          <w:rFonts w:ascii="Arial" w:hAnsi="Arial" w:cs="Arial"/>
          <w:sz w:val="22"/>
          <w:szCs w:val="22"/>
        </w:rPr>
        <w:t>La contribution financière est destinée à couvrir les coûts directs des activités de l’UNESCO dans le cadre de l’organisation d’un groupe de travail intergouvernemental à composition non limitée et d’une réunion préliminaire d’experts, et à financer, à hauteur de 7 %, les dépenses indirectes de l’UNESCO afférentes à la supervision technique et administrative du Fonds. Elle sera soumise aux procédures d’audit internes et externes, comme le prévoient le Règlement financier, le Règlement d’administration financière et les directives financières de l’UNESCO.</w:t>
      </w:r>
    </w:p>
    <w:p w14:paraId="54948E09" w14:textId="77777777" w:rsidR="001B3B6E" w:rsidRPr="00F56499" w:rsidRDefault="001B3B6E" w:rsidP="00A93AA8">
      <w:pPr>
        <w:shd w:val="clear" w:color="auto" w:fill="FFFFFF"/>
        <w:spacing w:after="120"/>
        <w:ind w:left="567" w:right="566"/>
        <w:jc w:val="both"/>
        <w:rPr>
          <w:rFonts w:ascii="Arial" w:hAnsi="Arial" w:cs="Arial"/>
          <w:sz w:val="22"/>
          <w:szCs w:val="22"/>
        </w:rPr>
      </w:pPr>
      <w:r w:rsidRPr="00F56499">
        <w:rPr>
          <w:rFonts w:ascii="Arial" w:hAnsi="Arial" w:cs="Arial"/>
          <w:sz w:val="22"/>
          <w:szCs w:val="22"/>
        </w:rPr>
        <w:t xml:space="preserve">Le gouvernement du Japon </w:t>
      </w:r>
      <w:r w:rsidRPr="00F56499">
        <w:rPr>
          <w:rStyle w:val="hps"/>
          <w:rFonts w:ascii="Arial" w:hAnsi="Arial" w:cs="Arial"/>
          <w:sz w:val="22"/>
          <w:szCs w:val="22"/>
        </w:rPr>
        <w:t>se félicite de cette occasion de coopérer</w:t>
      </w:r>
      <w:r w:rsidRPr="00F56499">
        <w:rPr>
          <w:rFonts w:ascii="Arial" w:hAnsi="Arial" w:cs="Arial"/>
          <w:sz w:val="22"/>
          <w:szCs w:val="22"/>
        </w:rPr>
        <w:t xml:space="preserve"> </w:t>
      </w:r>
      <w:r w:rsidRPr="00F56499">
        <w:rPr>
          <w:rStyle w:val="hps"/>
          <w:rFonts w:ascii="Arial" w:hAnsi="Arial" w:cs="Arial"/>
          <w:sz w:val="22"/>
          <w:szCs w:val="22"/>
        </w:rPr>
        <w:t>avec le secteur</w:t>
      </w:r>
      <w:r w:rsidRPr="00F56499">
        <w:rPr>
          <w:rFonts w:ascii="Arial" w:hAnsi="Arial" w:cs="Arial"/>
          <w:sz w:val="22"/>
          <w:szCs w:val="22"/>
        </w:rPr>
        <w:t xml:space="preserve"> </w:t>
      </w:r>
      <w:r w:rsidRPr="00F56499">
        <w:rPr>
          <w:rStyle w:val="hps"/>
          <w:rFonts w:ascii="Arial" w:hAnsi="Arial" w:cs="Arial"/>
          <w:sz w:val="22"/>
          <w:szCs w:val="22"/>
        </w:rPr>
        <w:t>de la culture</w:t>
      </w:r>
      <w:r w:rsidRPr="00F56499">
        <w:rPr>
          <w:rFonts w:ascii="Arial" w:hAnsi="Arial" w:cs="Arial"/>
          <w:sz w:val="22"/>
          <w:szCs w:val="22"/>
        </w:rPr>
        <w:t xml:space="preserve"> </w:t>
      </w:r>
      <w:r w:rsidRPr="00F56499">
        <w:rPr>
          <w:rStyle w:val="hps"/>
          <w:rFonts w:ascii="Arial" w:hAnsi="Arial" w:cs="Arial"/>
          <w:sz w:val="22"/>
          <w:szCs w:val="22"/>
        </w:rPr>
        <w:t>de l’UNESCO</w:t>
      </w:r>
      <w:r w:rsidRPr="00F56499">
        <w:rPr>
          <w:rFonts w:ascii="Arial" w:hAnsi="Arial" w:cs="Arial"/>
          <w:sz w:val="22"/>
          <w:szCs w:val="22"/>
        </w:rPr>
        <w:t xml:space="preserve"> afin de soutenir</w:t>
      </w:r>
      <w:r w:rsidRPr="00F56499">
        <w:rPr>
          <w:rStyle w:val="hps"/>
          <w:rFonts w:ascii="Arial" w:hAnsi="Arial" w:cs="Arial"/>
          <w:sz w:val="22"/>
          <w:szCs w:val="22"/>
        </w:rPr>
        <w:t xml:space="preserve"> la Convention pour</w:t>
      </w:r>
      <w:r w:rsidRPr="00F56499">
        <w:rPr>
          <w:rFonts w:ascii="Arial" w:hAnsi="Arial" w:cs="Arial"/>
          <w:sz w:val="22"/>
          <w:szCs w:val="22"/>
        </w:rPr>
        <w:t xml:space="preserve"> </w:t>
      </w:r>
      <w:r w:rsidRPr="00F56499">
        <w:rPr>
          <w:rStyle w:val="hps"/>
          <w:rFonts w:ascii="Arial" w:hAnsi="Arial" w:cs="Arial"/>
          <w:sz w:val="22"/>
          <w:szCs w:val="22"/>
        </w:rPr>
        <w:t>la sauvegarde du</w:t>
      </w:r>
      <w:r w:rsidRPr="00F56499">
        <w:rPr>
          <w:rFonts w:ascii="Arial" w:hAnsi="Arial" w:cs="Arial"/>
          <w:sz w:val="22"/>
          <w:szCs w:val="22"/>
        </w:rPr>
        <w:t xml:space="preserve"> </w:t>
      </w:r>
      <w:r w:rsidRPr="00F56499">
        <w:rPr>
          <w:rStyle w:val="hps"/>
          <w:rFonts w:ascii="Arial" w:hAnsi="Arial" w:cs="Arial"/>
          <w:sz w:val="22"/>
          <w:szCs w:val="22"/>
        </w:rPr>
        <w:t>patrimoine culturel immatériel</w:t>
      </w:r>
      <w:r w:rsidRPr="00F56499">
        <w:rPr>
          <w:rFonts w:ascii="Arial" w:hAnsi="Arial" w:cs="Arial"/>
          <w:sz w:val="22"/>
          <w:szCs w:val="22"/>
        </w:rPr>
        <w:t>.</w:t>
      </w:r>
    </w:p>
    <w:p w14:paraId="6219DB17" w14:textId="77777777" w:rsidR="001B3B6E" w:rsidRPr="00F56499" w:rsidRDefault="001B3B6E" w:rsidP="00A93AA8">
      <w:pPr>
        <w:shd w:val="clear" w:color="auto" w:fill="FFFFFF"/>
        <w:spacing w:after="600"/>
        <w:ind w:left="567" w:right="566"/>
        <w:jc w:val="both"/>
        <w:rPr>
          <w:rFonts w:ascii="Arial" w:hAnsi="Arial" w:cs="Arial"/>
          <w:sz w:val="22"/>
          <w:szCs w:val="22"/>
        </w:rPr>
      </w:pPr>
      <w:r w:rsidRPr="00F56499">
        <w:rPr>
          <w:rFonts w:ascii="Arial" w:hAnsi="Arial" w:cs="Arial"/>
          <w:sz w:val="22"/>
          <w:szCs w:val="22"/>
        </w:rPr>
        <w:t xml:space="preserve">Veuillez agréer, Monsieur, l’expression de ma considération </w:t>
      </w:r>
      <w:r w:rsidRPr="00F56499">
        <w:rPr>
          <w:rFonts w:ascii="Arial" w:hAnsi="Arial" w:cs="Arial"/>
          <w:bCs/>
          <w:sz w:val="22"/>
          <w:szCs w:val="22"/>
        </w:rPr>
        <w:t>distinguée</w:t>
      </w:r>
      <w:r w:rsidRPr="00F56499">
        <w:rPr>
          <w:rFonts w:ascii="Arial" w:hAnsi="Arial" w:cs="Arial"/>
          <w:sz w:val="22"/>
          <w:szCs w:val="22"/>
        </w:rPr>
        <w:t>.</w:t>
      </w:r>
    </w:p>
    <w:p w14:paraId="14F6E9CF" w14:textId="77777777" w:rsidR="001B3B6E" w:rsidRPr="00F56499" w:rsidRDefault="001B3B6E" w:rsidP="001B3B6E">
      <w:pPr>
        <w:ind w:left="4253" w:right="566"/>
        <w:rPr>
          <w:rFonts w:ascii="Arial" w:hAnsi="Arial" w:cs="Arial"/>
          <w:sz w:val="22"/>
          <w:szCs w:val="22"/>
        </w:rPr>
      </w:pPr>
      <w:r w:rsidRPr="00F56499">
        <w:rPr>
          <w:rFonts w:ascii="Arial" w:hAnsi="Arial" w:cs="Arial"/>
          <w:sz w:val="22"/>
          <w:szCs w:val="22"/>
        </w:rPr>
        <w:t>[Signé]</w:t>
      </w:r>
    </w:p>
    <w:p w14:paraId="5F74659E" w14:textId="77777777" w:rsidR="001B3B6E" w:rsidRPr="00F56499" w:rsidRDefault="001B3B6E" w:rsidP="001B3B6E">
      <w:pPr>
        <w:ind w:left="4253" w:right="566"/>
        <w:rPr>
          <w:rFonts w:ascii="Arial" w:hAnsi="Arial" w:cs="Arial"/>
          <w:sz w:val="22"/>
          <w:szCs w:val="22"/>
        </w:rPr>
      </w:pPr>
      <w:r w:rsidRPr="00F56499">
        <w:rPr>
          <w:rFonts w:ascii="Arial" w:hAnsi="Arial" w:cs="Arial"/>
          <w:sz w:val="22"/>
          <w:szCs w:val="22"/>
        </w:rPr>
        <w:t>_________________________</w:t>
      </w:r>
    </w:p>
    <w:p w14:paraId="0F6B39D0" w14:textId="77777777" w:rsidR="001B3B6E" w:rsidRPr="00A93AA8" w:rsidRDefault="001B3B6E" w:rsidP="001B3B6E">
      <w:pPr>
        <w:spacing w:after="60"/>
        <w:ind w:left="4253" w:right="566"/>
        <w:rPr>
          <w:rFonts w:ascii="Arial" w:hAnsi="Arial" w:cs="Arial"/>
          <w:bCs/>
          <w:sz w:val="22"/>
          <w:szCs w:val="22"/>
        </w:rPr>
      </w:pPr>
      <w:r w:rsidRPr="00A93AA8">
        <w:rPr>
          <w:rFonts w:ascii="Arial" w:hAnsi="Arial" w:cs="Arial"/>
          <w:bCs/>
          <w:sz w:val="22"/>
          <w:szCs w:val="22"/>
        </w:rPr>
        <w:t>Takio YAMADA</w:t>
      </w:r>
    </w:p>
    <w:p w14:paraId="1F95AB1E" w14:textId="77777777" w:rsidR="001B3B6E" w:rsidRPr="00A93AA8" w:rsidRDefault="001B3B6E" w:rsidP="001B3B6E">
      <w:pPr>
        <w:spacing w:after="60"/>
        <w:ind w:left="4253" w:right="566"/>
        <w:rPr>
          <w:rFonts w:ascii="Arial" w:hAnsi="Arial" w:cs="Arial"/>
          <w:bCs/>
          <w:sz w:val="22"/>
          <w:szCs w:val="22"/>
        </w:rPr>
      </w:pPr>
      <w:r w:rsidRPr="00A93AA8">
        <w:rPr>
          <w:rFonts w:ascii="Arial" w:hAnsi="Arial" w:cs="Arial"/>
          <w:bCs/>
          <w:sz w:val="22"/>
          <w:szCs w:val="22"/>
        </w:rPr>
        <w:t>Ambassadeur extraordinaire et plénipotentiaire</w:t>
      </w:r>
    </w:p>
    <w:p w14:paraId="4BD26D79" w14:textId="77777777" w:rsidR="001B3B6E" w:rsidRPr="00A93AA8" w:rsidRDefault="001B3B6E" w:rsidP="00A93AA8">
      <w:pPr>
        <w:spacing w:after="60"/>
        <w:ind w:left="4253" w:right="567"/>
        <w:rPr>
          <w:rFonts w:ascii="Arial" w:hAnsi="Arial" w:cs="Arial"/>
          <w:bCs/>
          <w:sz w:val="22"/>
          <w:szCs w:val="22"/>
        </w:rPr>
      </w:pPr>
      <w:r w:rsidRPr="00A93AA8">
        <w:rPr>
          <w:rFonts w:ascii="Arial" w:hAnsi="Arial" w:cs="Arial"/>
          <w:bCs/>
          <w:sz w:val="22"/>
          <w:szCs w:val="22"/>
        </w:rPr>
        <w:t xml:space="preserve">Délégué permanent du Japon </w:t>
      </w:r>
    </w:p>
    <w:p w14:paraId="62BE910C" w14:textId="77777777" w:rsidR="001B3B6E" w:rsidRPr="00F56499" w:rsidRDefault="001B3B6E" w:rsidP="00A93AA8">
      <w:pPr>
        <w:spacing w:after="60"/>
        <w:ind w:left="4253" w:right="566"/>
        <w:rPr>
          <w:rFonts w:ascii="Arial" w:hAnsi="Arial" w:cs="Arial"/>
          <w:bCs/>
          <w:sz w:val="22"/>
          <w:szCs w:val="22"/>
          <w:highlight w:val="lightGray"/>
        </w:rPr>
      </w:pPr>
      <w:r w:rsidRPr="00A93AA8">
        <w:rPr>
          <w:rFonts w:ascii="Arial" w:hAnsi="Arial" w:cs="Arial"/>
          <w:bCs/>
          <w:sz w:val="22"/>
          <w:szCs w:val="22"/>
        </w:rPr>
        <w:t>auprès de l’UNESCO</w:t>
      </w:r>
    </w:p>
    <w:p w14:paraId="43CF6E3F" w14:textId="77777777" w:rsidR="001B3B6E" w:rsidRPr="00F56499" w:rsidRDefault="001B3B6E" w:rsidP="00A93AA8">
      <w:pPr>
        <w:spacing w:after="480"/>
        <w:ind w:left="4253" w:right="566"/>
        <w:rPr>
          <w:rFonts w:ascii="Arial" w:hAnsi="Arial" w:cs="Arial"/>
          <w:sz w:val="22"/>
          <w:szCs w:val="22"/>
        </w:rPr>
      </w:pPr>
      <w:r w:rsidRPr="00F56499">
        <w:rPr>
          <w:rFonts w:ascii="Arial" w:hAnsi="Arial" w:cs="Arial"/>
          <w:sz w:val="22"/>
          <w:szCs w:val="22"/>
        </w:rPr>
        <w:t>22 octobre 2018</w:t>
      </w:r>
    </w:p>
    <w:p w14:paraId="07C54E84" w14:textId="77777777" w:rsidR="001B3B6E" w:rsidRPr="00F56499" w:rsidRDefault="001B3B6E" w:rsidP="001B3B6E">
      <w:pPr>
        <w:shd w:val="clear" w:color="auto" w:fill="FFFFFF"/>
        <w:spacing w:before="120"/>
        <w:ind w:right="567"/>
        <w:jc w:val="both"/>
        <w:rPr>
          <w:rFonts w:ascii="Arial" w:hAnsi="Arial" w:cs="Arial"/>
          <w:sz w:val="22"/>
          <w:szCs w:val="22"/>
        </w:rPr>
      </w:pPr>
    </w:p>
    <w:p w14:paraId="3761D972" w14:textId="77777777" w:rsidR="001B3B6E" w:rsidRPr="00F56499" w:rsidRDefault="001B3B6E" w:rsidP="00A93AA8">
      <w:pPr>
        <w:shd w:val="clear" w:color="auto" w:fill="FFFFFF"/>
        <w:spacing w:before="120"/>
        <w:ind w:left="567" w:right="567"/>
        <w:jc w:val="both"/>
        <w:rPr>
          <w:rFonts w:ascii="Arial" w:hAnsi="Arial" w:cs="Arial"/>
          <w:sz w:val="22"/>
          <w:szCs w:val="22"/>
        </w:rPr>
      </w:pPr>
      <w:r w:rsidRPr="00F56499">
        <w:rPr>
          <w:rFonts w:ascii="Arial" w:hAnsi="Arial" w:cs="Arial"/>
          <w:sz w:val="22"/>
          <w:szCs w:val="22"/>
        </w:rPr>
        <w:lastRenderedPageBreak/>
        <w:t>Approuvé par :</w:t>
      </w:r>
    </w:p>
    <w:p w14:paraId="3FDFCCCC" w14:textId="77777777" w:rsidR="001B3B6E" w:rsidRPr="00F56499" w:rsidRDefault="001B3B6E" w:rsidP="00A93AA8">
      <w:pPr>
        <w:shd w:val="clear" w:color="auto" w:fill="FFFFFF"/>
        <w:ind w:left="567" w:right="566"/>
        <w:jc w:val="both"/>
        <w:rPr>
          <w:rFonts w:ascii="Arial" w:hAnsi="Arial" w:cs="Arial"/>
          <w:sz w:val="22"/>
          <w:szCs w:val="22"/>
        </w:rPr>
      </w:pPr>
      <w:r w:rsidRPr="00F56499">
        <w:rPr>
          <w:rFonts w:ascii="Arial" w:hAnsi="Arial" w:cs="Arial"/>
          <w:sz w:val="22"/>
          <w:szCs w:val="22"/>
        </w:rPr>
        <w:t>Organisation des Nations Unies pour l’éducation, la science et la culture</w:t>
      </w:r>
    </w:p>
    <w:p w14:paraId="07C0748C" w14:textId="77777777" w:rsidR="001B3B6E" w:rsidRPr="00F56499" w:rsidRDefault="001B3B6E" w:rsidP="00A93AA8">
      <w:pPr>
        <w:shd w:val="clear" w:color="auto" w:fill="FFFFFF"/>
        <w:tabs>
          <w:tab w:val="left" w:pos="709"/>
        </w:tabs>
        <w:spacing w:before="480" w:after="120"/>
        <w:ind w:left="567" w:right="567"/>
        <w:jc w:val="both"/>
        <w:rPr>
          <w:rFonts w:ascii="Arial" w:hAnsi="Arial" w:cs="Arial"/>
          <w:sz w:val="22"/>
          <w:szCs w:val="22"/>
        </w:rPr>
      </w:pPr>
      <w:r w:rsidRPr="00F56499">
        <w:rPr>
          <w:rFonts w:ascii="Arial" w:hAnsi="Arial" w:cs="Arial"/>
          <w:sz w:val="22"/>
          <w:szCs w:val="22"/>
        </w:rPr>
        <w:t>Par : ___________________________________</w:t>
      </w:r>
    </w:p>
    <w:p w14:paraId="7D43C871" w14:textId="77777777" w:rsidR="001B3B6E" w:rsidRPr="00F56499" w:rsidRDefault="001B3B6E" w:rsidP="00A93AA8">
      <w:pPr>
        <w:shd w:val="clear" w:color="auto" w:fill="FFFFFF"/>
        <w:tabs>
          <w:tab w:val="left" w:pos="1276"/>
          <w:tab w:val="right" w:pos="2552"/>
        </w:tabs>
        <w:ind w:left="567" w:right="567"/>
        <w:rPr>
          <w:rFonts w:ascii="Arial" w:hAnsi="Arial" w:cs="Arial"/>
          <w:sz w:val="22"/>
          <w:szCs w:val="22"/>
        </w:rPr>
      </w:pPr>
      <w:r w:rsidRPr="00F56499">
        <w:rPr>
          <w:rFonts w:ascii="Arial" w:hAnsi="Arial" w:cs="Arial"/>
          <w:sz w:val="22"/>
          <w:szCs w:val="22"/>
        </w:rPr>
        <w:t xml:space="preserve">Nom : </w:t>
      </w:r>
      <w:r w:rsidR="00A93AA8">
        <w:rPr>
          <w:rFonts w:ascii="Arial" w:hAnsi="Arial" w:cs="Arial"/>
          <w:sz w:val="22"/>
          <w:szCs w:val="22"/>
        </w:rPr>
        <w:t>Ernesto OTTONE R.</w:t>
      </w:r>
      <w:r w:rsidRPr="00F56499">
        <w:rPr>
          <w:rFonts w:ascii="Arial" w:hAnsi="Arial" w:cs="Arial"/>
          <w:sz w:val="22"/>
          <w:szCs w:val="22"/>
        </w:rPr>
        <w:br/>
        <w:t>Titre : Sous-Directeur général, Secteur de la culture</w:t>
      </w:r>
    </w:p>
    <w:p w14:paraId="2C6D8FFD" w14:textId="77777777" w:rsidR="001B3B6E" w:rsidRPr="00F56499" w:rsidRDefault="001B3B6E" w:rsidP="00A93AA8">
      <w:pPr>
        <w:shd w:val="clear" w:color="auto" w:fill="FFFFFF"/>
        <w:tabs>
          <w:tab w:val="left" w:pos="567"/>
          <w:tab w:val="right" w:pos="2552"/>
        </w:tabs>
        <w:spacing w:after="60"/>
        <w:ind w:left="567" w:right="566"/>
        <w:rPr>
          <w:rFonts w:ascii="Arial" w:hAnsi="Arial" w:cs="Arial"/>
          <w:sz w:val="22"/>
          <w:szCs w:val="22"/>
        </w:rPr>
      </w:pPr>
      <w:r w:rsidRPr="00F56499">
        <w:rPr>
          <w:rFonts w:ascii="Arial" w:hAnsi="Arial" w:cs="Arial"/>
          <w:sz w:val="22"/>
          <w:szCs w:val="22"/>
        </w:rPr>
        <w:tab/>
        <w:t>Organisation des Nations Unies pour l’éducation, la science et la culture</w:t>
      </w:r>
    </w:p>
    <w:p w14:paraId="023996FC" w14:textId="77777777" w:rsidR="001B3B6E" w:rsidRPr="00F56499" w:rsidRDefault="001B3B6E" w:rsidP="00A93AA8">
      <w:pPr>
        <w:keepLines/>
        <w:shd w:val="clear" w:color="auto" w:fill="FFFFFF"/>
        <w:tabs>
          <w:tab w:val="left" w:pos="567"/>
        </w:tabs>
        <w:spacing w:after="60"/>
        <w:ind w:left="567" w:right="566"/>
        <w:jc w:val="both"/>
        <w:rPr>
          <w:rFonts w:ascii="Arial" w:hAnsi="Arial" w:cs="Arial"/>
          <w:sz w:val="22"/>
          <w:szCs w:val="22"/>
        </w:rPr>
      </w:pPr>
      <w:r w:rsidRPr="00F56499">
        <w:rPr>
          <w:rFonts w:ascii="Arial" w:hAnsi="Arial" w:cs="Arial"/>
          <w:sz w:val="22"/>
          <w:szCs w:val="22"/>
        </w:rPr>
        <w:t>Date : _____________</w:t>
      </w:r>
    </w:p>
    <w:p w14:paraId="7661EC41" w14:textId="77777777" w:rsidR="001B3B6E" w:rsidRPr="00A93AA8" w:rsidRDefault="001B3B6E" w:rsidP="00A93AA8">
      <w:pPr>
        <w:pageBreakBefore/>
        <w:widowControl w:val="0"/>
        <w:autoSpaceDE w:val="0"/>
        <w:autoSpaceDN w:val="0"/>
        <w:adjustRightInd w:val="0"/>
        <w:spacing w:after="360"/>
        <w:ind w:left="567" w:hanging="567"/>
        <w:jc w:val="right"/>
        <w:rPr>
          <w:rFonts w:ascii="Arial" w:hAnsi="Arial"/>
          <w:b/>
        </w:rPr>
      </w:pPr>
      <w:r w:rsidRPr="00A93AA8">
        <w:rPr>
          <w:rFonts w:ascii="Arial" w:hAnsi="Arial"/>
          <w:b/>
        </w:rPr>
        <w:lastRenderedPageBreak/>
        <w:t>Annexe 1 :</w:t>
      </w:r>
    </w:p>
    <w:p w14:paraId="25B167FD" w14:textId="77777777" w:rsidR="001B3B6E" w:rsidRPr="00FD0F35" w:rsidRDefault="001B3B6E" w:rsidP="001B3B6E">
      <w:pPr>
        <w:widowControl w:val="0"/>
        <w:autoSpaceDE w:val="0"/>
        <w:autoSpaceDN w:val="0"/>
        <w:adjustRightInd w:val="0"/>
        <w:spacing w:after="360"/>
        <w:ind w:right="-20"/>
        <w:jc w:val="center"/>
        <w:rPr>
          <w:rFonts w:ascii="Arial" w:hAnsi="Arial"/>
          <w:sz w:val="28"/>
          <w:szCs w:val="28"/>
        </w:rPr>
      </w:pPr>
      <w:r w:rsidRPr="00FD0F35">
        <w:rPr>
          <w:rFonts w:ascii="Arial" w:hAnsi="Arial"/>
          <w:sz w:val="28"/>
          <w:szCs w:val="28"/>
        </w:rPr>
        <w:t xml:space="preserve">Règlement financier du Compte spécial pour le Fonds pour </w:t>
      </w:r>
      <w:r w:rsidR="00A93AA8">
        <w:rPr>
          <w:rFonts w:ascii="Arial" w:hAnsi="Arial"/>
          <w:sz w:val="28"/>
          <w:szCs w:val="28"/>
        </w:rPr>
        <w:br/>
      </w:r>
      <w:r w:rsidRPr="00FD0F35">
        <w:rPr>
          <w:rFonts w:ascii="Arial" w:hAnsi="Arial"/>
          <w:sz w:val="28"/>
          <w:szCs w:val="28"/>
        </w:rPr>
        <w:t>la sauvegarde du patrimoine culturel immatériel</w:t>
      </w:r>
    </w:p>
    <w:p w14:paraId="21EF0E62" w14:textId="77777777" w:rsidR="001B3B6E" w:rsidRPr="00F56499" w:rsidRDefault="001B3B6E" w:rsidP="001B3B6E">
      <w:pPr>
        <w:pStyle w:val="Article"/>
        <w:tabs>
          <w:tab w:val="clear" w:pos="1418"/>
          <w:tab w:val="right" w:pos="1559"/>
          <w:tab w:val="left" w:pos="1843"/>
        </w:tabs>
        <w:ind w:left="1843" w:hanging="1843"/>
        <w:outlineLvl w:val="0"/>
      </w:pPr>
      <w:r w:rsidRPr="00F56499">
        <w:rPr>
          <w:noProof w:val="0"/>
        </w:rPr>
        <w:tab/>
        <w:t>Article premier</w:t>
      </w:r>
      <w:r w:rsidRPr="00F56499">
        <w:rPr>
          <w:noProof w:val="0"/>
        </w:rPr>
        <w:tab/>
        <w:t>Création d’un Compte spécial pour le patrimoine immatériel</w:t>
      </w:r>
    </w:p>
    <w:p w14:paraId="6B07854A"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1.1</w:t>
      </w:r>
      <w:r w:rsidRPr="00F56499">
        <w:rPr>
          <w:lang w:val="fr-FR"/>
        </w:rPr>
        <w:tab/>
        <w:t>L’article 25 de la Convention pour la sauvegarde du patrimoine culturel immatériel (ci-</w:t>
      </w:r>
      <w:r w:rsidRPr="00F56499">
        <w:rPr>
          <w:snapToGrid w:val="0"/>
          <w:lang w:val="fr-FR"/>
        </w:rPr>
        <w:t>après</w:t>
      </w:r>
      <w:r w:rsidRPr="00F56499">
        <w:rPr>
          <w:lang w:val="fr-FR"/>
        </w:rPr>
        <w:t xml:space="preserve"> dénommée la « Convention ») porte création d’un </w:t>
      </w:r>
      <w:r w:rsidRPr="00F56499">
        <w:rPr>
          <w:snapToGrid w:val="0"/>
          <w:lang w:val="fr-FR"/>
        </w:rPr>
        <w:t>Fonds</w:t>
      </w:r>
      <w:r w:rsidRPr="00F56499">
        <w:rPr>
          <w:lang w:val="fr-FR"/>
        </w:rPr>
        <w:t xml:space="preserve"> dit « Fonds pour la sauvegarde du patrimoine culturel immatériel » (ci-après dénommé le « Fonds »). Étant donné que le Fonds sera alimenté par plusieurs donateurs, celui-ci sera géré sous la forme d’un compte spécial.</w:t>
      </w:r>
    </w:p>
    <w:p w14:paraId="1A9150DC"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1.2</w:t>
      </w:r>
      <w:r w:rsidRPr="00F56499">
        <w:rPr>
          <w:lang w:val="fr-FR"/>
        </w:rPr>
        <w:tab/>
        <w:t xml:space="preserve">Conformément à l’article 6.6 du Règlement financier de l’UNESCO, il est créé en vertu du présent un Compte spécial affecté au Fonds pour la sauvegarde du </w:t>
      </w:r>
      <w:r w:rsidRPr="00F56499">
        <w:rPr>
          <w:snapToGrid w:val="0"/>
          <w:lang w:val="fr-FR"/>
        </w:rPr>
        <w:t>patrimoine</w:t>
      </w:r>
      <w:r w:rsidRPr="00F56499">
        <w:rPr>
          <w:lang w:val="fr-FR"/>
        </w:rPr>
        <w:t xml:space="preserve"> culturel immatériel (ci-après dénommé le « Compte spécial »).</w:t>
      </w:r>
    </w:p>
    <w:p w14:paraId="53D7CDD4"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1.3</w:t>
      </w:r>
      <w:r w:rsidRPr="00F56499">
        <w:rPr>
          <w:lang w:val="fr-FR"/>
        </w:rPr>
        <w:tab/>
        <w:t>La gestion du Compte spécial est régie par les dispositions ci-après.</w:t>
      </w:r>
    </w:p>
    <w:p w14:paraId="190029EA" w14:textId="77777777" w:rsidR="001B3B6E" w:rsidRPr="00F56499" w:rsidRDefault="001B3B6E" w:rsidP="001B3B6E">
      <w:pPr>
        <w:pStyle w:val="Article"/>
        <w:tabs>
          <w:tab w:val="clear" w:pos="1418"/>
          <w:tab w:val="right" w:pos="1559"/>
          <w:tab w:val="left" w:pos="1843"/>
        </w:tabs>
        <w:ind w:left="1843" w:hanging="1843"/>
        <w:outlineLvl w:val="0"/>
      </w:pPr>
      <w:r w:rsidRPr="00F56499">
        <w:rPr>
          <w:noProof w:val="0"/>
        </w:rPr>
        <w:tab/>
        <w:t>Article 2</w:t>
      </w:r>
      <w:r w:rsidRPr="00F56499">
        <w:rPr>
          <w:noProof w:val="0"/>
        </w:rPr>
        <w:tab/>
        <w:t>Exercice financier</w:t>
      </w:r>
    </w:p>
    <w:p w14:paraId="3654BF10" w14:textId="77777777" w:rsidR="001B3B6E" w:rsidRPr="00F56499" w:rsidRDefault="001B3B6E" w:rsidP="001B3B6E">
      <w:pPr>
        <w:widowControl w:val="0"/>
        <w:autoSpaceDE w:val="0"/>
        <w:autoSpaceDN w:val="0"/>
        <w:adjustRightInd w:val="0"/>
        <w:ind w:left="1843"/>
        <w:rPr>
          <w:rFonts w:ascii="Arial" w:hAnsi="Arial" w:cs="Arial"/>
          <w:sz w:val="22"/>
          <w:szCs w:val="22"/>
        </w:rPr>
      </w:pPr>
      <w:r w:rsidRPr="00F56499">
        <w:rPr>
          <w:rFonts w:ascii="Arial" w:hAnsi="Arial" w:cs="Arial"/>
          <w:sz w:val="22"/>
          <w:szCs w:val="22"/>
        </w:rPr>
        <w:t xml:space="preserve">L’exercice </w:t>
      </w:r>
      <w:r w:rsidRPr="00F56499">
        <w:rPr>
          <w:rFonts w:ascii="Arial" w:hAnsi="Arial" w:cs="Arial"/>
          <w:snapToGrid w:val="0"/>
          <w:sz w:val="22"/>
          <w:szCs w:val="22"/>
        </w:rPr>
        <w:t>financier</w:t>
      </w:r>
      <w:r w:rsidRPr="00F56499">
        <w:rPr>
          <w:rFonts w:ascii="Arial" w:hAnsi="Arial" w:cs="Arial"/>
          <w:sz w:val="22"/>
          <w:szCs w:val="22"/>
        </w:rPr>
        <w:t xml:space="preserve"> correspond à celui de l’UNESCO.</w:t>
      </w:r>
    </w:p>
    <w:p w14:paraId="6C32A678" w14:textId="77777777" w:rsidR="001B3B6E" w:rsidRPr="00F56499" w:rsidRDefault="001B3B6E" w:rsidP="001B3B6E">
      <w:pPr>
        <w:pStyle w:val="Article"/>
        <w:tabs>
          <w:tab w:val="clear" w:pos="1418"/>
          <w:tab w:val="right" w:pos="1559"/>
          <w:tab w:val="left" w:pos="1843"/>
        </w:tabs>
        <w:ind w:left="1843" w:hanging="1843"/>
        <w:outlineLvl w:val="0"/>
      </w:pPr>
      <w:r w:rsidRPr="00F56499">
        <w:rPr>
          <w:noProof w:val="0"/>
        </w:rPr>
        <w:tab/>
        <w:t>Article 3</w:t>
      </w:r>
      <w:r w:rsidRPr="00F56499">
        <w:rPr>
          <w:noProof w:val="0"/>
        </w:rPr>
        <w:tab/>
        <w:t>Objet</w:t>
      </w:r>
    </w:p>
    <w:p w14:paraId="6E294BBE" w14:textId="77777777" w:rsidR="001B3B6E" w:rsidRPr="00F56499" w:rsidRDefault="001B3B6E" w:rsidP="001B3B6E">
      <w:pPr>
        <w:widowControl w:val="0"/>
        <w:autoSpaceDE w:val="0"/>
        <w:autoSpaceDN w:val="0"/>
        <w:adjustRightInd w:val="0"/>
        <w:ind w:left="1843"/>
        <w:rPr>
          <w:rFonts w:ascii="Arial" w:hAnsi="Arial" w:cs="Arial"/>
          <w:sz w:val="22"/>
          <w:szCs w:val="22"/>
        </w:rPr>
      </w:pPr>
      <w:r w:rsidRPr="00F56499">
        <w:rPr>
          <w:rFonts w:ascii="Arial" w:hAnsi="Arial" w:cs="Arial"/>
          <w:sz w:val="22"/>
          <w:szCs w:val="22"/>
        </w:rPr>
        <w:t xml:space="preserve">Le présent Compte spécial a pour objet de recevoir des contributions émanant de sources </w:t>
      </w:r>
      <w:r w:rsidRPr="00F56499">
        <w:rPr>
          <w:rFonts w:ascii="Arial" w:hAnsi="Arial" w:cs="Arial"/>
          <w:snapToGrid w:val="0"/>
          <w:sz w:val="22"/>
          <w:szCs w:val="22"/>
        </w:rPr>
        <w:t>telles</w:t>
      </w:r>
      <w:r w:rsidRPr="00F56499">
        <w:rPr>
          <w:rFonts w:ascii="Arial" w:hAnsi="Arial" w:cs="Arial"/>
          <w:sz w:val="22"/>
          <w:szCs w:val="22"/>
        </w:rPr>
        <w:t xml:space="preserve"> que mentionnées dans l’article 4.1 ci-après et de réaliser des paiements, en vue de contribuer à la sauvegarde du patrimoine culturel immatériel conformément aux dispositions de la Convention et au présent Règlement.</w:t>
      </w:r>
    </w:p>
    <w:p w14:paraId="414BA57E" w14:textId="77777777" w:rsidR="001B3B6E" w:rsidRPr="00F56499" w:rsidRDefault="001B3B6E" w:rsidP="001B3B6E">
      <w:pPr>
        <w:pStyle w:val="Article"/>
        <w:tabs>
          <w:tab w:val="clear" w:pos="1418"/>
          <w:tab w:val="right" w:pos="1559"/>
          <w:tab w:val="left" w:pos="1843"/>
        </w:tabs>
        <w:ind w:left="1843" w:hanging="1843"/>
        <w:outlineLvl w:val="0"/>
      </w:pPr>
      <w:r w:rsidRPr="00F56499">
        <w:rPr>
          <w:noProof w:val="0"/>
        </w:rPr>
        <w:tab/>
        <w:t>Article 4</w:t>
      </w:r>
      <w:r w:rsidRPr="00F56499">
        <w:rPr>
          <w:noProof w:val="0"/>
        </w:rPr>
        <w:tab/>
        <w:t>Recettes</w:t>
      </w:r>
    </w:p>
    <w:p w14:paraId="0E18BB27"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4.1</w:t>
      </w:r>
      <w:r w:rsidRPr="00F56499">
        <w:rPr>
          <w:lang w:val="fr-FR"/>
        </w:rPr>
        <w:tab/>
        <w:t>Comme le prévoit l’article 25.3 de la Convention, les recettes du Compte spécial sont constituées par :</w:t>
      </w:r>
    </w:p>
    <w:p w14:paraId="65D07B9E" w14:textId="77777777" w:rsidR="001B3B6E" w:rsidRPr="00F56499" w:rsidRDefault="001B3B6E" w:rsidP="001B3B6E">
      <w:pPr>
        <w:widowControl w:val="0"/>
        <w:tabs>
          <w:tab w:val="left" w:pos="2835"/>
        </w:tabs>
        <w:autoSpaceDE w:val="0"/>
        <w:autoSpaceDN w:val="0"/>
        <w:adjustRightInd w:val="0"/>
        <w:spacing w:after="120"/>
        <w:ind w:left="2410" w:hanging="567"/>
        <w:rPr>
          <w:rFonts w:ascii="Arial" w:hAnsi="Arial" w:cs="Arial"/>
          <w:sz w:val="22"/>
          <w:szCs w:val="22"/>
        </w:rPr>
      </w:pPr>
      <w:r w:rsidRPr="00F56499">
        <w:rPr>
          <w:rFonts w:ascii="Arial" w:hAnsi="Arial" w:cs="Arial"/>
          <w:sz w:val="22"/>
          <w:szCs w:val="22"/>
        </w:rPr>
        <w:t>(a)</w:t>
      </w:r>
      <w:r w:rsidRPr="00F56499">
        <w:rPr>
          <w:rFonts w:ascii="Arial" w:hAnsi="Arial" w:cs="Arial"/>
          <w:sz w:val="22"/>
          <w:szCs w:val="22"/>
        </w:rPr>
        <w:tab/>
        <w:t>les contributions des États parties à la Convention, conformément à l’article 26 de celle-ci ;</w:t>
      </w:r>
    </w:p>
    <w:p w14:paraId="0A233BF0" w14:textId="77777777" w:rsidR="001B3B6E" w:rsidRPr="00F56499" w:rsidRDefault="001B3B6E" w:rsidP="001B3B6E">
      <w:pPr>
        <w:widowControl w:val="0"/>
        <w:tabs>
          <w:tab w:val="left" w:pos="2835"/>
        </w:tabs>
        <w:autoSpaceDE w:val="0"/>
        <w:autoSpaceDN w:val="0"/>
        <w:adjustRightInd w:val="0"/>
        <w:spacing w:after="120"/>
        <w:ind w:left="2410" w:hanging="567"/>
        <w:rPr>
          <w:rFonts w:ascii="Arial" w:hAnsi="Arial" w:cs="Arial"/>
          <w:sz w:val="22"/>
          <w:szCs w:val="22"/>
        </w:rPr>
      </w:pPr>
      <w:r w:rsidRPr="00F56499">
        <w:rPr>
          <w:rFonts w:ascii="Arial" w:hAnsi="Arial" w:cs="Arial"/>
          <w:sz w:val="22"/>
          <w:szCs w:val="22"/>
        </w:rPr>
        <w:t>(b)</w:t>
      </w:r>
      <w:r w:rsidRPr="00F56499">
        <w:rPr>
          <w:rFonts w:ascii="Arial" w:hAnsi="Arial" w:cs="Arial"/>
          <w:sz w:val="22"/>
          <w:szCs w:val="22"/>
        </w:rPr>
        <w:tab/>
        <w:t>les fonds alloués à cette fin par la Conférence générale de l’UNESCO ;</w:t>
      </w:r>
    </w:p>
    <w:p w14:paraId="04BF0A02" w14:textId="77777777" w:rsidR="001B3B6E" w:rsidRPr="00F56499" w:rsidRDefault="001B3B6E" w:rsidP="001B3B6E">
      <w:pPr>
        <w:widowControl w:val="0"/>
        <w:tabs>
          <w:tab w:val="left" w:pos="2835"/>
        </w:tabs>
        <w:autoSpaceDE w:val="0"/>
        <w:autoSpaceDN w:val="0"/>
        <w:adjustRightInd w:val="0"/>
        <w:spacing w:after="120"/>
        <w:ind w:left="2410" w:hanging="567"/>
        <w:rPr>
          <w:rFonts w:ascii="Arial" w:hAnsi="Arial" w:cs="Arial"/>
          <w:sz w:val="22"/>
          <w:szCs w:val="22"/>
        </w:rPr>
      </w:pPr>
      <w:r w:rsidRPr="00F56499">
        <w:rPr>
          <w:rFonts w:ascii="Arial" w:hAnsi="Arial" w:cs="Arial"/>
          <w:sz w:val="22"/>
          <w:szCs w:val="22"/>
        </w:rPr>
        <w:t>(c)</w:t>
      </w:r>
      <w:r w:rsidRPr="00F56499">
        <w:rPr>
          <w:rFonts w:ascii="Arial" w:hAnsi="Arial" w:cs="Arial"/>
          <w:sz w:val="22"/>
          <w:szCs w:val="22"/>
        </w:rPr>
        <w:tab/>
        <w:t>les versements, dons ou legs que pourront faire :</w:t>
      </w:r>
    </w:p>
    <w:p w14:paraId="2FEF9B76" w14:textId="77777777" w:rsidR="001B3B6E" w:rsidRPr="00F56499" w:rsidRDefault="001B3B6E" w:rsidP="001B3B6E">
      <w:pPr>
        <w:widowControl w:val="0"/>
        <w:tabs>
          <w:tab w:val="left" w:pos="3261"/>
        </w:tabs>
        <w:autoSpaceDE w:val="0"/>
        <w:autoSpaceDN w:val="0"/>
        <w:adjustRightInd w:val="0"/>
        <w:spacing w:after="120"/>
        <w:ind w:left="2835" w:hanging="425"/>
        <w:rPr>
          <w:rFonts w:ascii="Arial" w:hAnsi="Arial" w:cs="Arial"/>
          <w:sz w:val="22"/>
          <w:szCs w:val="22"/>
        </w:rPr>
      </w:pPr>
      <w:r w:rsidRPr="00F56499">
        <w:rPr>
          <w:rFonts w:ascii="Arial" w:hAnsi="Arial" w:cs="Arial"/>
          <w:sz w:val="22"/>
          <w:szCs w:val="22"/>
        </w:rPr>
        <w:t>(i)</w:t>
      </w:r>
      <w:r w:rsidRPr="00F56499">
        <w:rPr>
          <w:rFonts w:ascii="Arial" w:hAnsi="Arial" w:cs="Arial"/>
          <w:sz w:val="22"/>
          <w:szCs w:val="22"/>
        </w:rPr>
        <w:tab/>
        <w:t>d’autres États ;</w:t>
      </w:r>
    </w:p>
    <w:p w14:paraId="162BC234" w14:textId="77777777" w:rsidR="001B3B6E" w:rsidRPr="00F56499" w:rsidRDefault="001B3B6E" w:rsidP="001B3B6E">
      <w:pPr>
        <w:widowControl w:val="0"/>
        <w:tabs>
          <w:tab w:val="left" w:pos="3261"/>
        </w:tabs>
        <w:autoSpaceDE w:val="0"/>
        <w:autoSpaceDN w:val="0"/>
        <w:adjustRightInd w:val="0"/>
        <w:spacing w:after="120"/>
        <w:ind w:left="2835" w:right="-20" w:hanging="425"/>
        <w:rPr>
          <w:rFonts w:ascii="Arial" w:hAnsi="Arial" w:cs="Arial"/>
          <w:sz w:val="22"/>
          <w:szCs w:val="22"/>
        </w:rPr>
      </w:pPr>
      <w:r w:rsidRPr="00F56499">
        <w:rPr>
          <w:rFonts w:ascii="Arial" w:hAnsi="Arial" w:cs="Arial"/>
          <w:sz w:val="22"/>
          <w:szCs w:val="22"/>
        </w:rPr>
        <w:t>(ii)</w:t>
      </w:r>
      <w:r w:rsidRPr="00F56499">
        <w:rPr>
          <w:rFonts w:ascii="Arial" w:hAnsi="Arial" w:cs="Arial"/>
          <w:sz w:val="22"/>
          <w:szCs w:val="22"/>
        </w:rPr>
        <w:tab/>
        <w:t>les organisations et programmes du système des Nations Unies, notamment le Programme des Nations Unies pour le développement, ainsi que d’autres organisations internationales ;</w:t>
      </w:r>
    </w:p>
    <w:p w14:paraId="27C6118B" w14:textId="77777777" w:rsidR="001B3B6E" w:rsidRPr="00F56499" w:rsidRDefault="001B3B6E" w:rsidP="001B3B6E">
      <w:pPr>
        <w:widowControl w:val="0"/>
        <w:tabs>
          <w:tab w:val="left" w:pos="3261"/>
        </w:tabs>
        <w:autoSpaceDE w:val="0"/>
        <w:autoSpaceDN w:val="0"/>
        <w:adjustRightInd w:val="0"/>
        <w:spacing w:after="120"/>
        <w:ind w:left="2835" w:right="-20" w:hanging="425"/>
        <w:rPr>
          <w:rFonts w:ascii="Arial" w:hAnsi="Arial" w:cs="Arial"/>
          <w:sz w:val="22"/>
          <w:szCs w:val="22"/>
        </w:rPr>
      </w:pPr>
      <w:r w:rsidRPr="00F56499">
        <w:rPr>
          <w:rFonts w:ascii="Arial" w:hAnsi="Arial" w:cs="Arial"/>
          <w:sz w:val="22"/>
          <w:szCs w:val="22"/>
        </w:rPr>
        <w:t>(iii)</w:t>
      </w:r>
      <w:r w:rsidRPr="00F56499">
        <w:rPr>
          <w:rFonts w:ascii="Arial" w:hAnsi="Arial" w:cs="Arial"/>
          <w:sz w:val="22"/>
          <w:szCs w:val="22"/>
        </w:rPr>
        <w:tab/>
        <w:t>des organismes publics ou privés ou des personnes privées ;</w:t>
      </w:r>
    </w:p>
    <w:p w14:paraId="749BD45D" w14:textId="77777777" w:rsidR="001B3B6E" w:rsidRPr="00F56499" w:rsidRDefault="001B3B6E" w:rsidP="001B3B6E">
      <w:pPr>
        <w:widowControl w:val="0"/>
        <w:tabs>
          <w:tab w:val="left" w:pos="2835"/>
        </w:tabs>
        <w:autoSpaceDE w:val="0"/>
        <w:autoSpaceDN w:val="0"/>
        <w:adjustRightInd w:val="0"/>
        <w:spacing w:after="120"/>
        <w:ind w:left="2410" w:hanging="567"/>
        <w:rPr>
          <w:rFonts w:ascii="Arial" w:hAnsi="Arial" w:cs="Arial"/>
          <w:sz w:val="22"/>
          <w:szCs w:val="22"/>
        </w:rPr>
      </w:pPr>
      <w:r w:rsidRPr="00F56499">
        <w:rPr>
          <w:rFonts w:ascii="Arial" w:hAnsi="Arial" w:cs="Arial"/>
          <w:sz w:val="22"/>
          <w:szCs w:val="22"/>
        </w:rPr>
        <w:t>(d)</w:t>
      </w:r>
      <w:r w:rsidRPr="00F56499">
        <w:rPr>
          <w:rFonts w:ascii="Arial" w:hAnsi="Arial" w:cs="Arial"/>
          <w:sz w:val="22"/>
          <w:szCs w:val="22"/>
        </w:rPr>
        <w:tab/>
        <w:t>tout intérêt dû sur les ressources du Compte spécial ;</w:t>
      </w:r>
    </w:p>
    <w:p w14:paraId="192EEFF2" w14:textId="77777777" w:rsidR="001B3B6E" w:rsidRPr="00F56499" w:rsidRDefault="001B3B6E" w:rsidP="001B3B6E">
      <w:pPr>
        <w:widowControl w:val="0"/>
        <w:tabs>
          <w:tab w:val="left" w:pos="2835"/>
        </w:tabs>
        <w:autoSpaceDE w:val="0"/>
        <w:autoSpaceDN w:val="0"/>
        <w:adjustRightInd w:val="0"/>
        <w:spacing w:after="120"/>
        <w:ind w:left="2410" w:hanging="567"/>
        <w:rPr>
          <w:rFonts w:ascii="Arial" w:hAnsi="Arial" w:cs="Arial"/>
          <w:sz w:val="22"/>
          <w:szCs w:val="22"/>
        </w:rPr>
      </w:pPr>
      <w:r w:rsidRPr="00F56499">
        <w:rPr>
          <w:rFonts w:ascii="Arial" w:hAnsi="Arial" w:cs="Arial"/>
          <w:sz w:val="22"/>
          <w:szCs w:val="22"/>
        </w:rPr>
        <w:t>(e)</w:t>
      </w:r>
      <w:r w:rsidRPr="00F56499">
        <w:rPr>
          <w:rFonts w:ascii="Arial" w:hAnsi="Arial" w:cs="Arial"/>
          <w:sz w:val="22"/>
          <w:szCs w:val="22"/>
        </w:rPr>
        <w:tab/>
        <w:t>le produit des collectes et les recettes des manifestations organisées au profit du Compte spécial ;</w:t>
      </w:r>
    </w:p>
    <w:p w14:paraId="38B7C9A4" w14:textId="77777777" w:rsidR="001B3B6E" w:rsidRPr="00F56499" w:rsidRDefault="001B3B6E" w:rsidP="001B3B6E">
      <w:pPr>
        <w:widowControl w:val="0"/>
        <w:tabs>
          <w:tab w:val="left" w:pos="2835"/>
        </w:tabs>
        <w:autoSpaceDE w:val="0"/>
        <w:autoSpaceDN w:val="0"/>
        <w:adjustRightInd w:val="0"/>
        <w:spacing w:after="120"/>
        <w:ind w:left="2410" w:hanging="567"/>
        <w:rPr>
          <w:rFonts w:ascii="Arial" w:hAnsi="Arial" w:cs="Arial"/>
          <w:sz w:val="22"/>
          <w:szCs w:val="22"/>
        </w:rPr>
      </w:pPr>
      <w:r w:rsidRPr="00F56499">
        <w:rPr>
          <w:rFonts w:ascii="Arial" w:hAnsi="Arial" w:cs="Arial"/>
          <w:sz w:val="22"/>
          <w:szCs w:val="22"/>
        </w:rPr>
        <w:t>(f)</w:t>
      </w:r>
      <w:r w:rsidRPr="00F56499">
        <w:rPr>
          <w:rFonts w:ascii="Arial" w:hAnsi="Arial" w:cs="Arial"/>
          <w:sz w:val="22"/>
          <w:szCs w:val="22"/>
        </w:rPr>
        <w:tab/>
        <w:t>toutes autres ressources autorisées par le Comité.</w:t>
      </w:r>
    </w:p>
    <w:p w14:paraId="7DBF714A"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4.2</w:t>
      </w:r>
      <w:r w:rsidRPr="00F56499">
        <w:rPr>
          <w:lang w:val="fr-FR"/>
        </w:rPr>
        <w:tab/>
        <w:t>Comme le prévoit l’article 26.1 de la Convention, les contributions des États parties n’ayant pas procédé à la déclaration visée à l’article 26.2 de la Convention doivent être versées conformément au pourcentage uniforme déterminé par l’Assemblée générale des États parties à la Convention.</w:t>
      </w:r>
    </w:p>
    <w:p w14:paraId="346A267C" w14:textId="77777777" w:rsidR="001B3B6E" w:rsidRPr="00F56499" w:rsidRDefault="001B3B6E" w:rsidP="001B3B6E">
      <w:pPr>
        <w:pStyle w:val="Article"/>
        <w:tabs>
          <w:tab w:val="clear" w:pos="1418"/>
          <w:tab w:val="right" w:pos="1559"/>
          <w:tab w:val="left" w:pos="1843"/>
        </w:tabs>
        <w:ind w:left="1843" w:hanging="1843"/>
        <w:outlineLvl w:val="0"/>
      </w:pPr>
      <w:r w:rsidRPr="00F56499">
        <w:rPr>
          <w:noProof w:val="0"/>
        </w:rPr>
        <w:lastRenderedPageBreak/>
        <w:tab/>
        <w:t>Article 5</w:t>
      </w:r>
      <w:r w:rsidRPr="00F56499">
        <w:rPr>
          <w:noProof w:val="0"/>
        </w:rPr>
        <w:tab/>
        <w:t>Dépenses</w:t>
      </w:r>
    </w:p>
    <w:p w14:paraId="67532D99"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5.1</w:t>
      </w:r>
      <w:r w:rsidRPr="00F56499">
        <w:rPr>
          <w:lang w:val="fr-FR"/>
        </w:rPr>
        <w:tab/>
        <w:t>Conformément à l’article 25.4 de la Convention, l’utilisation des ressources du Compte spécial par le Comité est décidée sur la base d’orientations de l’Assemblée générale.</w:t>
      </w:r>
    </w:p>
    <w:p w14:paraId="7D093C84"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5.2</w:t>
      </w:r>
      <w:r w:rsidRPr="00F56499">
        <w:rPr>
          <w:lang w:val="fr-FR"/>
        </w:rPr>
        <w:tab/>
        <w:t>Le Compte spécial est débité des dépenses effectuées conformément à l’objet défini à l’article 3 ci-dessus, y compris les dépenses administratives directes s’y rapportant expressément.</w:t>
      </w:r>
    </w:p>
    <w:p w14:paraId="66639068"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5.3</w:t>
      </w:r>
      <w:r w:rsidRPr="00F56499">
        <w:rPr>
          <w:lang w:val="fr-FR"/>
        </w:rPr>
        <w:tab/>
        <w:t>Les dépenses sont engagées dans la limite des fonds disponibles.</w:t>
      </w:r>
    </w:p>
    <w:p w14:paraId="14A7DABF" w14:textId="77777777" w:rsidR="001B3B6E" w:rsidRPr="00F56499" w:rsidRDefault="001B3B6E" w:rsidP="001B3B6E">
      <w:pPr>
        <w:pStyle w:val="Article"/>
        <w:tabs>
          <w:tab w:val="clear" w:pos="1418"/>
          <w:tab w:val="right" w:pos="1559"/>
          <w:tab w:val="left" w:pos="1843"/>
        </w:tabs>
        <w:ind w:left="1843" w:hanging="1843"/>
        <w:outlineLvl w:val="0"/>
      </w:pPr>
      <w:r w:rsidRPr="00F56499">
        <w:rPr>
          <w:noProof w:val="0"/>
        </w:rPr>
        <w:tab/>
        <w:t>Article 6</w:t>
      </w:r>
      <w:r w:rsidRPr="00F56499">
        <w:rPr>
          <w:noProof w:val="0"/>
        </w:rPr>
        <w:tab/>
        <w:t>Fonds de réserve</w:t>
      </w:r>
    </w:p>
    <w:p w14:paraId="067F999F" w14:textId="77777777" w:rsidR="001B3B6E" w:rsidRPr="00F56499" w:rsidRDefault="001B3B6E" w:rsidP="001B3B6E">
      <w:pPr>
        <w:widowControl w:val="0"/>
        <w:autoSpaceDE w:val="0"/>
        <w:autoSpaceDN w:val="0"/>
        <w:adjustRightInd w:val="0"/>
        <w:ind w:left="1843"/>
        <w:rPr>
          <w:rFonts w:ascii="Arial" w:hAnsi="Arial" w:cs="Arial"/>
          <w:sz w:val="22"/>
          <w:szCs w:val="22"/>
        </w:rPr>
      </w:pPr>
      <w:r w:rsidRPr="00F56499">
        <w:rPr>
          <w:rFonts w:ascii="Arial" w:hAnsi="Arial" w:cs="Arial"/>
          <w:sz w:val="22"/>
          <w:szCs w:val="22"/>
        </w:rPr>
        <w:t>Il sera créé dans le cadre du Compte spécial un fonds de réserve pour répondre aux demandes d’assistance dans les cas d’extrême urgence tels que prévus aux articles 17.3 et 22.2 de la Convention. Le montant de cette réserve sera déterminé par le Comité.</w:t>
      </w:r>
    </w:p>
    <w:p w14:paraId="68352022" w14:textId="77777777" w:rsidR="001B3B6E" w:rsidRPr="00F56499" w:rsidRDefault="001B3B6E" w:rsidP="001B3B6E">
      <w:pPr>
        <w:pStyle w:val="Article"/>
        <w:tabs>
          <w:tab w:val="clear" w:pos="1418"/>
          <w:tab w:val="right" w:pos="1559"/>
          <w:tab w:val="left" w:pos="1843"/>
        </w:tabs>
        <w:ind w:left="1843" w:hanging="1843"/>
        <w:outlineLvl w:val="0"/>
      </w:pPr>
      <w:r w:rsidRPr="00F56499">
        <w:rPr>
          <w:noProof w:val="0"/>
        </w:rPr>
        <w:tab/>
        <w:t>Article 7</w:t>
      </w:r>
      <w:r w:rsidRPr="00F56499">
        <w:rPr>
          <w:noProof w:val="0"/>
        </w:rPr>
        <w:tab/>
        <w:t>Comptabilité</w:t>
      </w:r>
    </w:p>
    <w:p w14:paraId="591E9B1B"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7.1</w:t>
      </w:r>
      <w:r w:rsidRPr="00F56499">
        <w:rPr>
          <w:lang w:val="fr-FR"/>
        </w:rPr>
        <w:tab/>
        <w:t>Le Contrôleur financier de l’UNESCO fait tenir la comptabilité nécessaire.</w:t>
      </w:r>
    </w:p>
    <w:p w14:paraId="06314416"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7.2</w:t>
      </w:r>
      <w:r w:rsidRPr="00F56499">
        <w:rPr>
          <w:lang w:val="fr-FR"/>
        </w:rPr>
        <w:tab/>
        <w:t>Tout solde inutilisé en fin d’exercice financier est reporté à l’exercice suivant.</w:t>
      </w:r>
    </w:p>
    <w:p w14:paraId="2B0DBB56"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7.3</w:t>
      </w:r>
      <w:r w:rsidRPr="00F56499">
        <w:rPr>
          <w:lang w:val="fr-FR"/>
        </w:rPr>
        <w:tab/>
        <w:t>Les comptes du Compte spécial sont présentés pour vérification au Commissaire aux comptes de l’UNESCO, en même temps que les autres comptes de l’Organisation.</w:t>
      </w:r>
    </w:p>
    <w:p w14:paraId="48D8A6B0"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7.4</w:t>
      </w:r>
      <w:r w:rsidRPr="00F56499">
        <w:rPr>
          <w:lang w:val="fr-FR"/>
        </w:rPr>
        <w:tab/>
        <w:t>Les contributions en nature sont comptabilisées en dehors du Compte spécial.</w:t>
      </w:r>
    </w:p>
    <w:p w14:paraId="3A7F7C9D"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7.5</w:t>
      </w:r>
      <w:r w:rsidRPr="00F56499">
        <w:rPr>
          <w:lang w:val="fr-FR"/>
        </w:rPr>
        <w:tab/>
        <w:t>Les comptes sont soumis par le/la Directeur/Directrice général(e) à l’Assemblée générale des États parties à la Convention.</w:t>
      </w:r>
    </w:p>
    <w:p w14:paraId="47DC623C" w14:textId="77777777" w:rsidR="001B3B6E" w:rsidRPr="00F56499" w:rsidRDefault="001B3B6E" w:rsidP="001B3B6E">
      <w:pPr>
        <w:pStyle w:val="Article"/>
        <w:tabs>
          <w:tab w:val="clear" w:pos="1418"/>
          <w:tab w:val="right" w:pos="1559"/>
          <w:tab w:val="left" w:pos="1843"/>
        </w:tabs>
        <w:ind w:left="1843" w:hanging="1843"/>
        <w:outlineLvl w:val="0"/>
      </w:pPr>
      <w:r w:rsidRPr="00F56499">
        <w:rPr>
          <w:noProof w:val="0"/>
        </w:rPr>
        <w:tab/>
        <w:t>Article 8</w:t>
      </w:r>
      <w:r w:rsidRPr="00F56499">
        <w:rPr>
          <w:noProof w:val="0"/>
        </w:rPr>
        <w:tab/>
        <w:t>Placements</w:t>
      </w:r>
    </w:p>
    <w:p w14:paraId="6CB17169"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8.1</w:t>
      </w:r>
      <w:r w:rsidRPr="00F56499">
        <w:rPr>
          <w:lang w:val="fr-FR"/>
        </w:rPr>
        <w:tab/>
        <w:t>Le/La Directeur/Directrice général(e) est autorisé(e) à placer à court terme les sommes figurant au crédit du Compte spécial.</w:t>
      </w:r>
    </w:p>
    <w:p w14:paraId="6E58AC46" w14:textId="77777777" w:rsidR="001B3B6E" w:rsidRPr="00F56499" w:rsidRDefault="001B3B6E" w:rsidP="001B3B6E">
      <w:pPr>
        <w:pStyle w:val="para11"/>
        <w:tabs>
          <w:tab w:val="clear" w:pos="2268"/>
          <w:tab w:val="right" w:pos="1560"/>
          <w:tab w:val="left" w:pos="1843"/>
        </w:tabs>
        <w:ind w:left="1843" w:hanging="1843"/>
        <w:rPr>
          <w:lang w:val="fr-FR"/>
        </w:rPr>
      </w:pPr>
      <w:r w:rsidRPr="00F56499">
        <w:rPr>
          <w:lang w:val="fr-FR"/>
        </w:rPr>
        <w:tab/>
        <w:t>8.2</w:t>
      </w:r>
      <w:r w:rsidRPr="00F56499">
        <w:rPr>
          <w:lang w:val="fr-FR"/>
        </w:rPr>
        <w:tab/>
        <w:t>Les intérêts produits par ces placements sont portés au crédit du Compte spécial.</w:t>
      </w:r>
    </w:p>
    <w:p w14:paraId="5AD5DF42" w14:textId="77777777" w:rsidR="001B3B6E" w:rsidRPr="00F56499" w:rsidRDefault="001B3B6E" w:rsidP="001B3B6E">
      <w:pPr>
        <w:pStyle w:val="Article"/>
        <w:tabs>
          <w:tab w:val="clear" w:pos="1418"/>
          <w:tab w:val="right" w:pos="1559"/>
          <w:tab w:val="left" w:pos="1843"/>
        </w:tabs>
        <w:ind w:left="1843" w:hanging="1843"/>
        <w:outlineLvl w:val="0"/>
      </w:pPr>
      <w:r w:rsidRPr="00F56499">
        <w:rPr>
          <w:noProof w:val="0"/>
        </w:rPr>
        <w:tab/>
        <w:t>Article 9</w:t>
      </w:r>
      <w:r w:rsidRPr="00F56499">
        <w:rPr>
          <w:noProof w:val="0"/>
        </w:rPr>
        <w:tab/>
        <w:t>Disposition générale</w:t>
      </w:r>
    </w:p>
    <w:p w14:paraId="59E2BB1F" w14:textId="77777777" w:rsidR="001B3B6E" w:rsidRPr="00A93AA8" w:rsidRDefault="001B3B6E" w:rsidP="001B3B6E">
      <w:pPr>
        <w:widowControl w:val="0"/>
        <w:autoSpaceDE w:val="0"/>
        <w:autoSpaceDN w:val="0"/>
        <w:adjustRightInd w:val="0"/>
        <w:ind w:left="1843"/>
        <w:rPr>
          <w:rFonts w:ascii="Arial" w:hAnsi="Arial" w:cs="Arial"/>
          <w:sz w:val="22"/>
          <w:szCs w:val="22"/>
        </w:rPr>
      </w:pPr>
      <w:r w:rsidRPr="00F56499">
        <w:rPr>
          <w:rFonts w:ascii="Arial" w:hAnsi="Arial" w:cs="Arial"/>
          <w:sz w:val="22"/>
          <w:szCs w:val="22"/>
        </w:rPr>
        <w:t>Sauf dispositions contraires du présent Règlement, le Compte spécial est administré conformément aux dispositions du Règlement financier de l’UNESCO.</w:t>
      </w:r>
    </w:p>
    <w:sectPr w:rsidR="001B3B6E" w:rsidRPr="00A93AA8" w:rsidSect="00655736">
      <w:headerReference w:type="even" r:id="rId31"/>
      <w:headerReference w:type="default" r:id="rId32"/>
      <w:headerReference w:type="first" r:id="rId33"/>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8DB124" w16cid:durableId="1F4B5A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615BF" w14:textId="77777777" w:rsidR="000254EB" w:rsidRDefault="000254EB" w:rsidP="00655736">
      <w:r>
        <w:separator/>
      </w:r>
    </w:p>
  </w:endnote>
  <w:endnote w:type="continuationSeparator" w:id="0">
    <w:p w14:paraId="47FF0CA7" w14:textId="77777777" w:rsidR="000254EB" w:rsidRDefault="000254E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09A4B" w14:textId="77777777" w:rsidR="000254EB" w:rsidRDefault="000254EB" w:rsidP="00655736">
      <w:r>
        <w:separator/>
      </w:r>
    </w:p>
  </w:footnote>
  <w:footnote w:type="continuationSeparator" w:id="0">
    <w:p w14:paraId="6431392A" w14:textId="77777777" w:rsidR="000254EB" w:rsidRDefault="000254EB"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2D97" w14:textId="39E984F8" w:rsidR="000A01A6" w:rsidRPr="00C23A97" w:rsidRDefault="000A01A6" w:rsidP="001D14FE">
    <w:pPr>
      <w:pStyle w:val="Header"/>
      <w:rPr>
        <w:rFonts w:ascii="Arial" w:hAnsi="Arial" w:cs="Arial"/>
      </w:rPr>
    </w:pPr>
    <w:r>
      <w:rPr>
        <w:rFonts w:ascii="Arial" w:hAnsi="Arial"/>
        <w:sz w:val="20"/>
        <w:szCs w:val="20"/>
      </w:rPr>
      <w:t xml:space="preserve">ITH/18/13.COM/6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DA46BA">
      <w:rPr>
        <w:rStyle w:val="PageNumber"/>
        <w:rFonts w:ascii="Arial" w:hAnsi="Arial" w:cs="Arial"/>
        <w:noProof/>
        <w:sz w:val="20"/>
        <w:szCs w:val="20"/>
      </w:rPr>
      <w:t>12</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D9B2" w14:textId="40F3FC04" w:rsidR="000A01A6" w:rsidRPr="0063300C" w:rsidRDefault="000A01A6" w:rsidP="001D14FE">
    <w:pPr>
      <w:pStyle w:val="Header"/>
      <w:jc w:val="right"/>
      <w:rPr>
        <w:rFonts w:ascii="Arial" w:hAnsi="Arial" w:cs="Arial"/>
      </w:rPr>
    </w:pPr>
    <w:r>
      <w:rPr>
        <w:rFonts w:ascii="Arial" w:hAnsi="Arial"/>
        <w:sz w:val="20"/>
        <w:szCs w:val="20"/>
      </w:rPr>
      <w:t xml:space="preserve">ITH/18/13.COM/6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DA46BA">
      <w:rPr>
        <w:rStyle w:val="PageNumber"/>
        <w:rFonts w:ascii="Arial" w:hAnsi="Arial" w:cs="Arial"/>
        <w:noProof/>
        <w:sz w:val="20"/>
        <w:szCs w:val="20"/>
      </w:rPr>
      <w:t>13</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6A067" w14:textId="77777777" w:rsidR="000A01A6" w:rsidRPr="00E95AE2" w:rsidRDefault="00F007F5">
    <w:pPr>
      <w:pStyle w:val="Header"/>
      <w:rPr>
        <w:sz w:val="22"/>
        <w:szCs w:val="22"/>
      </w:rPr>
    </w:pPr>
    <w:r>
      <w:rPr>
        <w:noProof/>
        <w:lang w:val="en-US" w:eastAsia="ko-KR"/>
      </w:rPr>
      <w:drawing>
        <wp:anchor distT="0" distB="0" distL="114300" distR="114300" simplePos="0" relativeHeight="251659264" behindDoc="0" locked="0" layoutInCell="1" allowOverlap="1" wp14:anchorId="3C57E828" wp14:editId="137213B6">
          <wp:simplePos x="0" y="0"/>
          <wp:positionH relativeFrom="page">
            <wp:posOffset>342265</wp:posOffset>
          </wp:positionH>
          <wp:positionV relativeFrom="page">
            <wp:posOffset>255905</wp:posOffset>
          </wp:positionV>
          <wp:extent cx="2037600" cy="1530000"/>
          <wp:effectExtent l="0" t="0" r="1270" b="0"/>
          <wp:wrapNone/>
          <wp:docPr id="1" name="Picture 11"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4581B" w14:textId="77777777" w:rsidR="000A01A6" w:rsidRPr="00B57852" w:rsidRDefault="000A01A6" w:rsidP="001D14FE">
    <w:pPr>
      <w:pStyle w:val="Header"/>
      <w:spacing w:after="520"/>
      <w:jc w:val="right"/>
      <w:rPr>
        <w:rFonts w:ascii="Arial" w:hAnsi="Arial" w:cs="Arial"/>
        <w:b/>
        <w:sz w:val="44"/>
        <w:szCs w:val="44"/>
        <w:lang w:val="en-US"/>
      </w:rPr>
    </w:pPr>
    <w:r w:rsidRPr="00B57852">
      <w:rPr>
        <w:rFonts w:ascii="Arial" w:hAnsi="Arial"/>
        <w:b/>
        <w:sz w:val="44"/>
        <w:szCs w:val="44"/>
        <w:lang w:val="en-US"/>
      </w:rPr>
      <w:t>13 COM</w:t>
    </w:r>
  </w:p>
  <w:p w14:paraId="0154A6A8" w14:textId="77777777" w:rsidR="000A01A6" w:rsidRPr="00B57852" w:rsidRDefault="000A01A6" w:rsidP="001D14FE">
    <w:pPr>
      <w:jc w:val="right"/>
      <w:rPr>
        <w:rFonts w:ascii="Arial" w:hAnsi="Arial" w:cs="Arial"/>
        <w:b/>
        <w:sz w:val="22"/>
        <w:szCs w:val="22"/>
        <w:lang w:val="en-US"/>
      </w:rPr>
    </w:pPr>
    <w:r w:rsidRPr="00B57852">
      <w:rPr>
        <w:rFonts w:ascii="Arial" w:hAnsi="Arial"/>
        <w:b/>
        <w:sz w:val="22"/>
        <w:szCs w:val="22"/>
        <w:lang w:val="en-US"/>
      </w:rPr>
      <w:t>ITH/18/13.COM/6</w:t>
    </w:r>
  </w:p>
  <w:p w14:paraId="278A19E7" w14:textId="5FDBBA15" w:rsidR="000A01A6" w:rsidRPr="00970226" w:rsidRDefault="000A01A6" w:rsidP="00970226">
    <w:pPr>
      <w:jc w:val="right"/>
      <w:rPr>
        <w:rFonts w:ascii="Arial" w:eastAsiaTheme="minorEastAsia" w:hAnsi="Arial" w:cs="Arial"/>
        <w:b/>
        <w:sz w:val="22"/>
        <w:szCs w:val="22"/>
      </w:rPr>
    </w:pPr>
    <w:r w:rsidRPr="00970226">
      <w:rPr>
        <w:rFonts w:ascii="Arial" w:hAnsi="Arial"/>
        <w:b/>
        <w:sz w:val="22"/>
        <w:szCs w:val="22"/>
      </w:rPr>
      <w:t>Paris, le</w:t>
    </w:r>
    <w:r w:rsidR="00970226" w:rsidRPr="00970226">
      <w:rPr>
        <w:rFonts w:ascii="Arial" w:hAnsi="Arial"/>
        <w:b/>
        <w:sz w:val="22"/>
        <w:szCs w:val="22"/>
      </w:rPr>
      <w:t xml:space="preserve"> 29 octobre</w:t>
    </w:r>
    <w:r w:rsidR="00970226">
      <w:rPr>
        <w:rFonts w:ascii="Arial" w:hAnsi="Arial"/>
        <w:b/>
        <w:sz w:val="22"/>
        <w:szCs w:val="22"/>
      </w:rPr>
      <w:t> </w:t>
    </w:r>
    <w:r w:rsidRPr="00970226">
      <w:rPr>
        <w:rFonts w:ascii="Arial" w:hAnsi="Arial"/>
        <w:b/>
        <w:sz w:val="22"/>
        <w:szCs w:val="22"/>
      </w:rPr>
      <w:t>2018</w:t>
    </w:r>
  </w:p>
  <w:p w14:paraId="78108676" w14:textId="77777777" w:rsidR="000A01A6" w:rsidRPr="00F32C23" w:rsidRDefault="000A01A6" w:rsidP="000048ED">
    <w:pPr>
      <w:jc w:val="right"/>
      <w:rPr>
        <w:rFonts w:ascii="Arial" w:hAnsi="Arial" w:cs="Arial"/>
        <w:b/>
        <w:sz w:val="22"/>
        <w:szCs w:val="22"/>
      </w:rPr>
    </w:pPr>
    <w:r>
      <w:rPr>
        <w:rFonts w:ascii="Arial" w:hAnsi="Arial"/>
        <w:b/>
        <w:sz w:val="22"/>
        <w:szCs w:val="22"/>
      </w:rPr>
      <w:t>Original : anglais</w:t>
    </w:r>
  </w:p>
  <w:p w14:paraId="2D035684" w14:textId="77777777" w:rsidR="000A01A6" w:rsidRPr="00E95AE2" w:rsidRDefault="000A01A6">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6B9"/>
    <w:multiLevelType w:val="hybridMultilevel"/>
    <w:tmpl w:val="A4F2784A"/>
    <w:lvl w:ilvl="0" w:tplc="3208CFA2">
      <w:start w:val="1"/>
      <w:numFmt w:val="decimal"/>
      <w:pStyle w:val="Paragraph"/>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F1258A8"/>
    <w:multiLevelType w:val="hybridMultilevel"/>
    <w:tmpl w:val="BB068D50"/>
    <w:lvl w:ilvl="0" w:tplc="CD8C2B54">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6544172"/>
    <w:multiLevelType w:val="hybridMultilevel"/>
    <w:tmpl w:val="F1889A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5F07BFE"/>
    <w:multiLevelType w:val="hybridMultilevel"/>
    <w:tmpl w:val="FEF6A980"/>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40CADB26"/>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827E9B"/>
    <w:multiLevelType w:val="hybridMultilevel"/>
    <w:tmpl w:val="CACEE87E"/>
    <w:lvl w:ilvl="0" w:tplc="91BA11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74B45"/>
    <w:multiLevelType w:val="multilevel"/>
    <w:tmpl w:val="9A4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7"/>
  </w:num>
  <w:num w:numId="3">
    <w:abstractNumId w:val="4"/>
  </w:num>
  <w:num w:numId="4">
    <w:abstractNumId w:val="16"/>
  </w:num>
  <w:num w:numId="5">
    <w:abstractNumId w:val="13"/>
  </w:num>
  <w:num w:numId="6">
    <w:abstractNumId w:val="2"/>
  </w:num>
  <w:num w:numId="7">
    <w:abstractNumId w:val="5"/>
  </w:num>
  <w:num w:numId="8">
    <w:abstractNumId w:val="11"/>
  </w:num>
  <w:num w:numId="9">
    <w:abstractNumId w:val="6"/>
  </w:num>
  <w:num w:numId="10">
    <w:abstractNumId w:val="8"/>
  </w:num>
  <w:num w:numId="11">
    <w:abstractNumId w:val="10"/>
  </w:num>
  <w:num w:numId="12">
    <w:abstractNumId w:val="9"/>
  </w:num>
  <w:num w:numId="13">
    <w:abstractNumId w:val="6"/>
  </w:num>
  <w:num w:numId="14">
    <w:abstractNumId w:val="0"/>
  </w:num>
  <w:num w:numId="15">
    <w:abstractNumId w:val="6"/>
    <w:lvlOverride w:ilvl="0">
      <w:startOverride w:val="1"/>
    </w:lvlOverride>
  </w:num>
  <w:num w:numId="16">
    <w:abstractNumId w:val="6"/>
  </w:num>
  <w:num w:numId="17">
    <w:abstractNumId w:val="6"/>
  </w:num>
  <w:num w:numId="18">
    <w:abstractNumId w:val="6"/>
  </w:num>
  <w:num w:numId="19">
    <w:abstractNumId w:val="1"/>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8"/>
    <w:lvlOverride w:ilvl="0">
      <w:startOverride w:val="1"/>
    </w:lvlOverride>
  </w:num>
  <w:num w:numId="31">
    <w:abstractNumId w:val="6"/>
  </w:num>
  <w:num w:numId="32">
    <w:abstractNumId w:val="6"/>
  </w:num>
  <w:num w:numId="33">
    <w:abstractNumId w:val="6"/>
  </w:num>
  <w:num w:numId="34">
    <w:abstractNumId w:val="6"/>
  </w:num>
  <w:num w:numId="35">
    <w:abstractNumId w:val="14"/>
  </w:num>
  <w:num w:numId="36">
    <w:abstractNumId w:val="3"/>
  </w:num>
  <w:num w:numId="37">
    <w:abstractNumId w:val="6"/>
  </w:num>
  <w:num w:numId="38">
    <w:abstractNumId w:val="6"/>
  </w:num>
  <w:num w:numId="39">
    <w:abstractNumId w:val="8"/>
  </w:num>
  <w:num w:numId="40">
    <w:abstractNumId w:val="1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ctiveWritingStyle w:appName="MSWord" w:lang="fr-FR" w:vendorID="64" w:dllVersion="131078" w:nlCheck="1" w:checkStyle="0"/>
  <w:activeWritingStyle w:appName="MSWord" w:lang="en-US"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0D07"/>
    <w:rsid w:val="000048ED"/>
    <w:rsid w:val="000077AF"/>
    <w:rsid w:val="000254EB"/>
    <w:rsid w:val="00040490"/>
    <w:rsid w:val="00041A66"/>
    <w:rsid w:val="0005176E"/>
    <w:rsid w:val="0006218A"/>
    <w:rsid w:val="000674E2"/>
    <w:rsid w:val="000759A0"/>
    <w:rsid w:val="000765F7"/>
    <w:rsid w:val="00077AB7"/>
    <w:rsid w:val="00081CD8"/>
    <w:rsid w:val="000A01A6"/>
    <w:rsid w:val="000A7F0E"/>
    <w:rsid w:val="000B1C8F"/>
    <w:rsid w:val="000C0D61"/>
    <w:rsid w:val="000C34D8"/>
    <w:rsid w:val="000D5FA9"/>
    <w:rsid w:val="000F3A3F"/>
    <w:rsid w:val="00102557"/>
    <w:rsid w:val="00114EAD"/>
    <w:rsid w:val="00123855"/>
    <w:rsid w:val="00124224"/>
    <w:rsid w:val="00125CCC"/>
    <w:rsid w:val="00134CC7"/>
    <w:rsid w:val="0014080D"/>
    <w:rsid w:val="00154EB6"/>
    <w:rsid w:val="00164D56"/>
    <w:rsid w:val="00167B10"/>
    <w:rsid w:val="001704D6"/>
    <w:rsid w:val="0017280F"/>
    <w:rsid w:val="0017402F"/>
    <w:rsid w:val="0018530A"/>
    <w:rsid w:val="00187B8D"/>
    <w:rsid w:val="0019082C"/>
    <w:rsid w:val="001937FB"/>
    <w:rsid w:val="00196C1B"/>
    <w:rsid w:val="001A113D"/>
    <w:rsid w:val="001B0F73"/>
    <w:rsid w:val="001B3B6E"/>
    <w:rsid w:val="001C2DB7"/>
    <w:rsid w:val="001D14FE"/>
    <w:rsid w:val="001D5C04"/>
    <w:rsid w:val="001E6287"/>
    <w:rsid w:val="001F26CF"/>
    <w:rsid w:val="00203505"/>
    <w:rsid w:val="00222A2D"/>
    <w:rsid w:val="00223029"/>
    <w:rsid w:val="00234745"/>
    <w:rsid w:val="002351A6"/>
    <w:rsid w:val="00236360"/>
    <w:rsid w:val="002407AF"/>
    <w:rsid w:val="00245540"/>
    <w:rsid w:val="00254129"/>
    <w:rsid w:val="002671A0"/>
    <w:rsid w:val="0027466B"/>
    <w:rsid w:val="002838A5"/>
    <w:rsid w:val="00285BB4"/>
    <w:rsid w:val="002A3FE3"/>
    <w:rsid w:val="002A5D3D"/>
    <w:rsid w:val="002B5BFB"/>
    <w:rsid w:val="002C09E3"/>
    <w:rsid w:val="002C0D4B"/>
    <w:rsid w:val="002F0781"/>
    <w:rsid w:val="002F5E8D"/>
    <w:rsid w:val="00307360"/>
    <w:rsid w:val="00333D07"/>
    <w:rsid w:val="00337CEB"/>
    <w:rsid w:val="00344B58"/>
    <w:rsid w:val="0034539A"/>
    <w:rsid w:val="00345CB4"/>
    <w:rsid w:val="00353ECC"/>
    <w:rsid w:val="00362DC5"/>
    <w:rsid w:val="00372CDC"/>
    <w:rsid w:val="00375D42"/>
    <w:rsid w:val="00384A74"/>
    <w:rsid w:val="00390BF8"/>
    <w:rsid w:val="00397537"/>
    <w:rsid w:val="003B5DA5"/>
    <w:rsid w:val="003D069C"/>
    <w:rsid w:val="003D6A25"/>
    <w:rsid w:val="003D7646"/>
    <w:rsid w:val="003F113A"/>
    <w:rsid w:val="003F275F"/>
    <w:rsid w:val="003F3E63"/>
    <w:rsid w:val="003F6728"/>
    <w:rsid w:val="00403651"/>
    <w:rsid w:val="00407480"/>
    <w:rsid w:val="00414643"/>
    <w:rsid w:val="00430C97"/>
    <w:rsid w:val="004421E5"/>
    <w:rsid w:val="00452284"/>
    <w:rsid w:val="00453FED"/>
    <w:rsid w:val="00457690"/>
    <w:rsid w:val="00457C8E"/>
    <w:rsid w:val="00461B68"/>
    <w:rsid w:val="004767D1"/>
    <w:rsid w:val="00483B4C"/>
    <w:rsid w:val="004856CA"/>
    <w:rsid w:val="00487E67"/>
    <w:rsid w:val="0049539B"/>
    <w:rsid w:val="0049705E"/>
    <w:rsid w:val="004A34A0"/>
    <w:rsid w:val="004C0F08"/>
    <w:rsid w:val="004C213D"/>
    <w:rsid w:val="004D0924"/>
    <w:rsid w:val="004D6E2F"/>
    <w:rsid w:val="004E40EA"/>
    <w:rsid w:val="004F7708"/>
    <w:rsid w:val="005008A8"/>
    <w:rsid w:val="00502485"/>
    <w:rsid w:val="005062BE"/>
    <w:rsid w:val="00521E0D"/>
    <w:rsid w:val="00526B7B"/>
    <w:rsid w:val="005308CE"/>
    <w:rsid w:val="0053318C"/>
    <w:rsid w:val="005532A5"/>
    <w:rsid w:val="0056050D"/>
    <w:rsid w:val="00565B4A"/>
    <w:rsid w:val="0057439C"/>
    <w:rsid w:val="00591733"/>
    <w:rsid w:val="00593FE5"/>
    <w:rsid w:val="005B0127"/>
    <w:rsid w:val="005B7A35"/>
    <w:rsid w:val="005C4B73"/>
    <w:rsid w:val="005D7E75"/>
    <w:rsid w:val="005E1D2B"/>
    <w:rsid w:val="005E7074"/>
    <w:rsid w:val="005E74CB"/>
    <w:rsid w:val="005F2BAF"/>
    <w:rsid w:val="005F3BCD"/>
    <w:rsid w:val="00600641"/>
    <w:rsid w:val="00600D93"/>
    <w:rsid w:val="0060225B"/>
    <w:rsid w:val="00606F5E"/>
    <w:rsid w:val="00623873"/>
    <w:rsid w:val="0063300C"/>
    <w:rsid w:val="00633A98"/>
    <w:rsid w:val="00633C64"/>
    <w:rsid w:val="00655736"/>
    <w:rsid w:val="00663B8D"/>
    <w:rsid w:val="00681730"/>
    <w:rsid w:val="00683C87"/>
    <w:rsid w:val="006962E7"/>
    <w:rsid w:val="00696C8D"/>
    <w:rsid w:val="006A2AC2"/>
    <w:rsid w:val="006A3617"/>
    <w:rsid w:val="006A39CB"/>
    <w:rsid w:val="006E4596"/>
    <w:rsid w:val="006E46E4"/>
    <w:rsid w:val="006E6761"/>
    <w:rsid w:val="006F12C4"/>
    <w:rsid w:val="00717DA5"/>
    <w:rsid w:val="007405B4"/>
    <w:rsid w:val="00744484"/>
    <w:rsid w:val="00747566"/>
    <w:rsid w:val="00773188"/>
    <w:rsid w:val="00783782"/>
    <w:rsid w:val="00784B8C"/>
    <w:rsid w:val="007879E1"/>
    <w:rsid w:val="007A47E4"/>
    <w:rsid w:val="007A5654"/>
    <w:rsid w:val="007A7431"/>
    <w:rsid w:val="007B3DF3"/>
    <w:rsid w:val="007C3BB5"/>
    <w:rsid w:val="007C72BE"/>
    <w:rsid w:val="007D5E5C"/>
    <w:rsid w:val="007F4EEE"/>
    <w:rsid w:val="00811D13"/>
    <w:rsid w:val="00823A11"/>
    <w:rsid w:val="008368F2"/>
    <w:rsid w:val="0085405E"/>
    <w:rsid w:val="0085414A"/>
    <w:rsid w:val="0086269D"/>
    <w:rsid w:val="0086543A"/>
    <w:rsid w:val="008724E5"/>
    <w:rsid w:val="00884A9D"/>
    <w:rsid w:val="0088512B"/>
    <w:rsid w:val="008853DF"/>
    <w:rsid w:val="00886F19"/>
    <w:rsid w:val="008A2B2D"/>
    <w:rsid w:val="008A4E1E"/>
    <w:rsid w:val="008B0D6C"/>
    <w:rsid w:val="008B5508"/>
    <w:rsid w:val="008B66AA"/>
    <w:rsid w:val="008B793A"/>
    <w:rsid w:val="008C296C"/>
    <w:rsid w:val="008D4305"/>
    <w:rsid w:val="008D7C9E"/>
    <w:rsid w:val="008E1A85"/>
    <w:rsid w:val="008E1D48"/>
    <w:rsid w:val="00910DDF"/>
    <w:rsid w:val="00912D89"/>
    <w:rsid w:val="00913288"/>
    <w:rsid w:val="009163A7"/>
    <w:rsid w:val="00935446"/>
    <w:rsid w:val="00944DB4"/>
    <w:rsid w:val="009462BD"/>
    <w:rsid w:val="00946D0B"/>
    <w:rsid w:val="00950276"/>
    <w:rsid w:val="00955877"/>
    <w:rsid w:val="00964082"/>
    <w:rsid w:val="0096469B"/>
    <w:rsid w:val="00965D53"/>
    <w:rsid w:val="00967094"/>
    <w:rsid w:val="00970226"/>
    <w:rsid w:val="009942F0"/>
    <w:rsid w:val="009954FB"/>
    <w:rsid w:val="00996BB4"/>
    <w:rsid w:val="0099724F"/>
    <w:rsid w:val="009A18CD"/>
    <w:rsid w:val="009A7663"/>
    <w:rsid w:val="009B5238"/>
    <w:rsid w:val="009D27F5"/>
    <w:rsid w:val="009D5428"/>
    <w:rsid w:val="009E01ED"/>
    <w:rsid w:val="009E10EB"/>
    <w:rsid w:val="009E41E5"/>
    <w:rsid w:val="00A02CFD"/>
    <w:rsid w:val="00A0407B"/>
    <w:rsid w:val="00A12558"/>
    <w:rsid w:val="00A13903"/>
    <w:rsid w:val="00A16B32"/>
    <w:rsid w:val="00A20EA0"/>
    <w:rsid w:val="00A249E6"/>
    <w:rsid w:val="00A25EB6"/>
    <w:rsid w:val="00A26D48"/>
    <w:rsid w:val="00A27733"/>
    <w:rsid w:val="00A34ED5"/>
    <w:rsid w:val="00A42FCD"/>
    <w:rsid w:val="00A45DBF"/>
    <w:rsid w:val="00A755A2"/>
    <w:rsid w:val="00A76A76"/>
    <w:rsid w:val="00A92531"/>
    <w:rsid w:val="00A93AA8"/>
    <w:rsid w:val="00AA6660"/>
    <w:rsid w:val="00AB2C36"/>
    <w:rsid w:val="00AB6DDE"/>
    <w:rsid w:val="00AB70B6"/>
    <w:rsid w:val="00AC6064"/>
    <w:rsid w:val="00AD1A86"/>
    <w:rsid w:val="00AE103E"/>
    <w:rsid w:val="00AE4634"/>
    <w:rsid w:val="00AF0A07"/>
    <w:rsid w:val="00AF4AEC"/>
    <w:rsid w:val="00AF625E"/>
    <w:rsid w:val="00B0156F"/>
    <w:rsid w:val="00B1737A"/>
    <w:rsid w:val="00B27326"/>
    <w:rsid w:val="00B31111"/>
    <w:rsid w:val="00B42930"/>
    <w:rsid w:val="00B55945"/>
    <w:rsid w:val="00B57852"/>
    <w:rsid w:val="00B62DD2"/>
    <w:rsid w:val="00B87D2B"/>
    <w:rsid w:val="00BB04AF"/>
    <w:rsid w:val="00BB1BA7"/>
    <w:rsid w:val="00BB4A02"/>
    <w:rsid w:val="00BD2066"/>
    <w:rsid w:val="00BD52C9"/>
    <w:rsid w:val="00BE613E"/>
    <w:rsid w:val="00BE6354"/>
    <w:rsid w:val="00BF3626"/>
    <w:rsid w:val="00BF6D64"/>
    <w:rsid w:val="00C138D1"/>
    <w:rsid w:val="00C23A97"/>
    <w:rsid w:val="00C43842"/>
    <w:rsid w:val="00C64855"/>
    <w:rsid w:val="00C64E73"/>
    <w:rsid w:val="00C70EA7"/>
    <w:rsid w:val="00C74122"/>
    <w:rsid w:val="00C7433F"/>
    <w:rsid w:val="00C7516E"/>
    <w:rsid w:val="00C75770"/>
    <w:rsid w:val="00C82FF5"/>
    <w:rsid w:val="00C90C98"/>
    <w:rsid w:val="00CA4186"/>
    <w:rsid w:val="00CA56BB"/>
    <w:rsid w:val="00CB0542"/>
    <w:rsid w:val="00CE0263"/>
    <w:rsid w:val="00D00B2B"/>
    <w:rsid w:val="00D24877"/>
    <w:rsid w:val="00D24928"/>
    <w:rsid w:val="00D4698C"/>
    <w:rsid w:val="00D54117"/>
    <w:rsid w:val="00D57B41"/>
    <w:rsid w:val="00D8250F"/>
    <w:rsid w:val="00D84798"/>
    <w:rsid w:val="00D85DD9"/>
    <w:rsid w:val="00D921DC"/>
    <w:rsid w:val="00D936F7"/>
    <w:rsid w:val="00D95C4C"/>
    <w:rsid w:val="00DA36ED"/>
    <w:rsid w:val="00DA46BA"/>
    <w:rsid w:val="00DB1099"/>
    <w:rsid w:val="00DB1D5E"/>
    <w:rsid w:val="00DC3741"/>
    <w:rsid w:val="00DC74C4"/>
    <w:rsid w:val="00DD6DA1"/>
    <w:rsid w:val="00DE26D9"/>
    <w:rsid w:val="00DE34F1"/>
    <w:rsid w:val="00DE6160"/>
    <w:rsid w:val="00DF4942"/>
    <w:rsid w:val="00E244E1"/>
    <w:rsid w:val="00E4525D"/>
    <w:rsid w:val="00E56802"/>
    <w:rsid w:val="00E627B1"/>
    <w:rsid w:val="00E63960"/>
    <w:rsid w:val="00E66257"/>
    <w:rsid w:val="00E70169"/>
    <w:rsid w:val="00E86D3C"/>
    <w:rsid w:val="00E9376C"/>
    <w:rsid w:val="00E93846"/>
    <w:rsid w:val="00E95AE2"/>
    <w:rsid w:val="00E960FA"/>
    <w:rsid w:val="00EA0AAC"/>
    <w:rsid w:val="00EA335E"/>
    <w:rsid w:val="00EA528C"/>
    <w:rsid w:val="00EA580C"/>
    <w:rsid w:val="00EA7525"/>
    <w:rsid w:val="00EC64C1"/>
    <w:rsid w:val="00EC6F8D"/>
    <w:rsid w:val="00ED1CB8"/>
    <w:rsid w:val="00ED3A9D"/>
    <w:rsid w:val="00ED6F8F"/>
    <w:rsid w:val="00EE49F4"/>
    <w:rsid w:val="00EF34E2"/>
    <w:rsid w:val="00F007F5"/>
    <w:rsid w:val="00F10A0B"/>
    <w:rsid w:val="00F16B8A"/>
    <w:rsid w:val="00F24622"/>
    <w:rsid w:val="00F30DC6"/>
    <w:rsid w:val="00F313BE"/>
    <w:rsid w:val="00F32C23"/>
    <w:rsid w:val="00F4198C"/>
    <w:rsid w:val="00F50EF4"/>
    <w:rsid w:val="00F53DE9"/>
    <w:rsid w:val="00F576CB"/>
    <w:rsid w:val="00F7035D"/>
    <w:rsid w:val="00F71A02"/>
    <w:rsid w:val="00F73A34"/>
    <w:rsid w:val="00F929F8"/>
    <w:rsid w:val="00FA0D63"/>
    <w:rsid w:val="00FC1F83"/>
    <w:rsid w:val="00FC70C7"/>
    <w:rsid w:val="00FD1226"/>
    <w:rsid w:val="00FF0F3C"/>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1D985C5"/>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13"/>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54117"/>
    <w:rPr>
      <w:color w:val="0000FF" w:themeColor="hyperlink"/>
      <w:u w:val="single"/>
    </w:rPr>
  </w:style>
  <w:style w:type="paragraph" w:customStyle="1" w:styleId="Paragraph">
    <w:name w:val="Paragraph"/>
    <w:basedOn w:val="Marge"/>
    <w:link w:val="ParagraphChar"/>
    <w:qFormat/>
    <w:rsid w:val="00967094"/>
    <w:pPr>
      <w:numPr>
        <w:numId w:val="14"/>
      </w:numPr>
    </w:pPr>
    <w:rPr>
      <w:rFonts w:cs="Arial"/>
      <w:szCs w:val="22"/>
    </w:rPr>
  </w:style>
  <w:style w:type="character" w:customStyle="1" w:styleId="ParagraphChar">
    <w:name w:val="Paragraph Char"/>
    <w:link w:val="Paragraph"/>
    <w:rsid w:val="00461B68"/>
    <w:rPr>
      <w:rFonts w:ascii="Arial" w:eastAsia="Times New Roman" w:hAnsi="Arial" w:cs="Arial"/>
      <w:snapToGrid w:val="0"/>
      <w:sz w:val="22"/>
      <w:szCs w:val="22"/>
      <w:lang w:val="fr-FR" w:eastAsia="en-US"/>
    </w:rPr>
  </w:style>
  <w:style w:type="paragraph" w:styleId="FootnoteText">
    <w:name w:val="footnote text"/>
    <w:basedOn w:val="Normal"/>
    <w:link w:val="FootnoteTextChar"/>
    <w:uiPriority w:val="99"/>
    <w:semiHidden/>
    <w:unhideWhenUsed/>
    <w:rsid w:val="0099724F"/>
    <w:rPr>
      <w:sz w:val="20"/>
      <w:szCs w:val="20"/>
    </w:rPr>
  </w:style>
  <w:style w:type="character" w:customStyle="1" w:styleId="FootnoteTextChar">
    <w:name w:val="Footnote Text Char"/>
    <w:basedOn w:val="DefaultParagraphFont"/>
    <w:link w:val="FootnoteText"/>
    <w:uiPriority w:val="99"/>
    <w:semiHidden/>
    <w:rsid w:val="0099724F"/>
    <w:rPr>
      <w:rFonts w:ascii="Times New Roman" w:eastAsia="Times New Roman" w:hAnsi="Times New Roman"/>
    </w:rPr>
  </w:style>
  <w:style w:type="character" w:styleId="FootnoteReference">
    <w:name w:val="footnote reference"/>
    <w:basedOn w:val="DefaultParagraphFont"/>
    <w:uiPriority w:val="99"/>
    <w:semiHidden/>
    <w:unhideWhenUsed/>
    <w:rsid w:val="0099724F"/>
    <w:rPr>
      <w:vertAlign w:val="superscript"/>
    </w:rPr>
  </w:style>
  <w:style w:type="character" w:styleId="FollowedHyperlink">
    <w:name w:val="FollowedHyperlink"/>
    <w:basedOn w:val="DefaultParagraphFont"/>
    <w:uiPriority w:val="99"/>
    <w:semiHidden/>
    <w:unhideWhenUsed/>
    <w:rsid w:val="00C82FF5"/>
    <w:rPr>
      <w:color w:val="800080" w:themeColor="followedHyperlink"/>
      <w:u w:val="single"/>
    </w:rPr>
  </w:style>
  <w:style w:type="character" w:styleId="Emphasis">
    <w:name w:val="Emphasis"/>
    <w:basedOn w:val="DefaultParagraphFont"/>
    <w:uiPriority w:val="20"/>
    <w:qFormat/>
    <w:rsid w:val="00A20EA0"/>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593FE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93FE5"/>
    <w:rPr>
      <w:b/>
      <w:bCs/>
    </w:rPr>
  </w:style>
  <w:style w:type="character" w:customStyle="1" w:styleId="CommentSubjectChar">
    <w:name w:val="Comment Subject Char"/>
    <w:basedOn w:val="CommentTextChar"/>
    <w:link w:val="CommentSubject"/>
    <w:uiPriority w:val="99"/>
    <w:semiHidden/>
    <w:rsid w:val="00593FE5"/>
    <w:rPr>
      <w:rFonts w:ascii="Times New Roman" w:eastAsia="Times New Roman" w:hAnsi="Times New Roman"/>
      <w:b/>
      <w:bCs/>
    </w:rPr>
  </w:style>
  <w:style w:type="character" w:customStyle="1" w:styleId="hps">
    <w:name w:val="hps"/>
    <w:rsid w:val="001B3B6E"/>
  </w:style>
  <w:style w:type="paragraph" w:customStyle="1" w:styleId="Article">
    <w:name w:val="Article"/>
    <w:basedOn w:val="Normal"/>
    <w:link w:val="ArticleChar"/>
    <w:qFormat/>
    <w:rsid w:val="001B3B6E"/>
    <w:pPr>
      <w:keepNext/>
      <w:widowControl w:val="0"/>
      <w:tabs>
        <w:tab w:val="left" w:pos="1418"/>
      </w:tabs>
      <w:autoSpaceDE w:val="0"/>
      <w:autoSpaceDN w:val="0"/>
      <w:adjustRightInd w:val="0"/>
      <w:spacing w:before="360" w:after="120"/>
      <w:ind w:left="1418" w:hanging="1418"/>
      <w:contextualSpacing/>
    </w:pPr>
    <w:rPr>
      <w:rFonts w:ascii="Arial" w:eastAsia="SimSun" w:hAnsi="Arial" w:cs="Arial"/>
      <w:b/>
      <w:noProof/>
      <w:sz w:val="22"/>
      <w:szCs w:val="22"/>
    </w:rPr>
  </w:style>
  <w:style w:type="paragraph" w:customStyle="1" w:styleId="para11">
    <w:name w:val="para 1.1"/>
    <w:basedOn w:val="Normal"/>
    <w:link w:val="para11Char"/>
    <w:qFormat/>
    <w:rsid w:val="001B3B6E"/>
    <w:pPr>
      <w:widowControl w:val="0"/>
      <w:tabs>
        <w:tab w:val="left" w:pos="2268"/>
      </w:tabs>
      <w:autoSpaceDE w:val="0"/>
      <w:autoSpaceDN w:val="0"/>
      <w:adjustRightInd w:val="0"/>
      <w:spacing w:after="120"/>
      <w:ind w:left="1701" w:hanging="624"/>
    </w:pPr>
    <w:rPr>
      <w:rFonts w:ascii="Arial" w:eastAsia="SimSun" w:hAnsi="Arial" w:cs="Arial"/>
      <w:sz w:val="22"/>
      <w:szCs w:val="22"/>
      <w:lang w:val="en-US"/>
    </w:rPr>
  </w:style>
  <w:style w:type="character" w:customStyle="1" w:styleId="para11Char">
    <w:name w:val="para 1.1 Char"/>
    <w:link w:val="para11"/>
    <w:rsid w:val="001B3B6E"/>
    <w:rPr>
      <w:rFonts w:ascii="Arial" w:hAnsi="Arial" w:cs="Arial"/>
      <w:sz w:val="22"/>
      <w:szCs w:val="22"/>
      <w:lang w:val="en-US"/>
    </w:rPr>
  </w:style>
  <w:style w:type="character" w:customStyle="1" w:styleId="ArticleChar">
    <w:name w:val="Article Char"/>
    <w:link w:val="Article"/>
    <w:rsid w:val="001B3B6E"/>
    <w:rPr>
      <w:rFonts w:ascii="Arial" w:hAnsi="Arial" w:cs="Arial"/>
      <w:b/>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2517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74867741">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ich.unesco.org/fr/projets/sauvegarde-du-patrimoine-culturel-immateriel-a-travers-le-renforcement-des-capacites-nationales-au-maroc-en-mauritanie-et-en-tunisie-00281?projectID=00281" TargetMode="External"/><Relationship Id="rId26" Type="http://schemas.openxmlformats.org/officeDocument/2006/relationships/hyperlink" Target="https://ich.unesco.org/en/Decisions/11.COM/6" TargetMode="External"/><Relationship Id="rId3" Type="http://schemas.openxmlformats.org/officeDocument/2006/relationships/styles" Target="styles.xml"/><Relationship Id="rId21" Type="http://schemas.openxmlformats.org/officeDocument/2006/relationships/hyperlink" Target="http://unesdoc.unesco.org/images/0026/002628/262851f.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h.unesco.org/fr/R%C3%A9solutions/3.GA/9" TargetMode="External"/><Relationship Id="rId17" Type="http://schemas.openxmlformats.org/officeDocument/2006/relationships/hyperlink" Target="https://ich.unesco.org/fr/projets/renforcement-des-capacites-du-suriname-et-des-iles-neerlandaises-des-caraibes-pour-la-mise-en-oeuvre-de-la-convention-pour-la-sauvegarde-du-patrimoine-culturel-immateriel-00328?projectID=00328" TargetMode="External"/><Relationship Id="rId25" Type="http://schemas.openxmlformats.org/officeDocument/2006/relationships/hyperlink" Target="https://ich.unesco.org/fr/Decisions/10.COM/9" TargetMode="External"/><Relationship Id="rId33" Type="http://schemas.openxmlformats.org/officeDocument/2006/relationships/header" Target="header3.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ich.unesco.org/fr/projets/renforcement-des-capacites-du-bangladesh-pour-mettre-en-oeuvre-la-convention-de-2003-pour-la-sauvegarde-du-patrimoine-culturel-immateriel-00371?projectID=00371" TargetMode="External"/><Relationship Id="rId20" Type="http://schemas.openxmlformats.org/officeDocument/2006/relationships/hyperlink" Target="http://unesdoc.unesco.org/ulis/cgi-bin/ExtractPDF.pl?catno=261576&amp;lang=f&amp;from=138&amp;to=151&amp;display=2&amp;ts=1538984446" TargetMode="External"/><Relationship Id="rId29" Type="http://schemas.openxmlformats.org/officeDocument/2006/relationships/hyperlink" Target="http://unesdoc.unesco.org/images/0026/002615/261576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ich.unesco.org/fr/Decisions/9.COM/7"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fr/projets/renforcement-des-capacites-de-l-erythree-pour-mettre-en-oeuvre-la-convention-pour-la-sauvegarde-du-patrimoine-culturel-immateriel-00272?projectID=00272" TargetMode="External"/><Relationship Id="rId23" Type="http://schemas.openxmlformats.org/officeDocument/2006/relationships/hyperlink" Target="https://ich.unesco.org/fr/Decisions/8.COM/12" TargetMode="External"/><Relationship Id="rId28" Type="http://schemas.openxmlformats.org/officeDocument/2006/relationships/hyperlink" Target="https://ich.unesco.org/fr/decisions/12.COM/14" TargetMode="External"/><Relationship Id="rId10" Type="http://schemas.openxmlformats.org/officeDocument/2006/relationships/hyperlink" Target="https://ich.unesco.org/fr/Decisions/12.COM/6" TargetMode="External"/><Relationship Id="rId19" Type="http://schemas.openxmlformats.org/officeDocument/2006/relationships/hyperlink" Target="https://ich.unesco.org/fr/projets/renforcement-des-capacites-locales-pour-la-sauvegarde-du-patrimoine-culturel-immateriel-du-guatemala-00372?projectID=0037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fr/Decisions/7.COM/20.1" TargetMode="External"/><Relationship Id="rId14" Type="http://schemas.openxmlformats.org/officeDocument/2006/relationships/hyperlink" Target="https://ich.unesco.org/fr/decisions/12.COM/14" TargetMode="External"/><Relationship Id="rId22" Type="http://schemas.openxmlformats.org/officeDocument/2006/relationships/hyperlink" Target="http://unesdoc.unesco.org/ulis/cgi-bin/ExtractPDF.pl?catno=261576&amp;lang=f&amp;from=138&amp;to=151&amp;display=2&amp;ts=1538984446" TargetMode="External"/><Relationship Id="rId27" Type="http://schemas.openxmlformats.org/officeDocument/2006/relationships/hyperlink" Target="https://ich.unesco.org/fr/Decisions/12.COM/6"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hyperlink" Target="https://ich.unesco.org/fr/Decisions/12.COM/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0C67-13E0-4C57-83E4-E18D4875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700</TotalTime>
  <Pages>13</Pages>
  <Words>4249</Words>
  <Characters>24224</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44</cp:revision>
  <cp:lastPrinted>2018-10-19T10:18:00Z</cp:lastPrinted>
  <dcterms:created xsi:type="dcterms:W3CDTF">2018-09-18T09:41:00Z</dcterms:created>
  <dcterms:modified xsi:type="dcterms:W3CDTF">2018-10-29T18:01:00Z</dcterms:modified>
</cp:coreProperties>
</file>