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87389" w14:textId="4BA8C820"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w:t>
      </w:r>
      <w:r w:rsidR="00E538F9">
        <w:rPr>
          <w:rFonts w:ascii="Arial" w:hAnsi="Arial" w:cs="Arial"/>
          <w:b/>
          <w:sz w:val="22"/>
          <w:szCs w:val="22"/>
          <w:lang w:val="en-GB"/>
        </w:rPr>
        <w:t>ION FOR THE SAFEGUARDING OF THE</w:t>
      </w:r>
      <w:r w:rsidRPr="00293C60">
        <w:rPr>
          <w:rFonts w:ascii="Arial" w:hAnsi="Arial" w:cs="Arial"/>
          <w:b/>
          <w:sz w:val="22"/>
          <w:szCs w:val="22"/>
          <w:lang w:val="en-GB"/>
        </w:rPr>
        <w:br/>
        <w:t>INTANGIBLE CULTURAL HERITAGE</w:t>
      </w:r>
    </w:p>
    <w:p w14:paraId="61152B9B"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0436B52D"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41D126FC" w14:textId="6938FFDC" w:rsidR="009D5428" w:rsidRPr="00337CEB" w:rsidRDefault="005C6DC2"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w:t>
      </w:r>
      <w:r w:rsidR="00486032">
        <w:rPr>
          <w:rFonts w:ascii="Arial" w:eastAsiaTheme="minorEastAsia" w:hAnsi="Arial" w:cs="Arial"/>
          <w:b/>
          <w:sz w:val="22"/>
          <w:szCs w:val="22"/>
          <w:lang w:val="en-GB" w:eastAsia="ko-KR"/>
        </w:rPr>
        <w:t xml:space="preserve"> </w:t>
      </w:r>
      <w:r w:rsidR="001D14FE">
        <w:rPr>
          <w:rFonts w:ascii="Arial" w:eastAsiaTheme="minorEastAsia" w:hAnsi="Arial" w:cs="Arial"/>
          <w:b/>
          <w:sz w:val="22"/>
          <w:szCs w:val="22"/>
          <w:lang w:val="en-GB" w:eastAsia="ko-KR"/>
        </w:rPr>
        <w:t>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sidR="001D14FE">
        <w:rPr>
          <w:rFonts w:ascii="Arial" w:eastAsiaTheme="minorEastAsia" w:hAnsi="Arial" w:cs="Arial"/>
          <w:b/>
          <w:sz w:val="22"/>
          <w:szCs w:val="22"/>
          <w:lang w:val="en-GB" w:eastAsia="ko-KR"/>
        </w:rPr>
        <w:t>Mauritius</w:t>
      </w:r>
    </w:p>
    <w:p w14:paraId="0FD16EC3"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7092E0D0"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0F463B">
        <w:rPr>
          <w:rFonts w:ascii="Arial" w:hAnsi="Arial" w:cs="Arial"/>
          <w:b/>
          <w:sz w:val="22"/>
          <w:szCs w:val="22"/>
          <w:u w:val="single"/>
          <w:lang w:val="en-GB"/>
        </w:rPr>
        <w:t>5</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4DC791AF" w14:textId="77777777" w:rsidR="00EC6F8D" w:rsidRPr="000F463B" w:rsidRDefault="000F463B" w:rsidP="00EC6F8D">
      <w:pPr>
        <w:pStyle w:val="Sansinterligne2"/>
        <w:spacing w:after="1200"/>
        <w:jc w:val="center"/>
        <w:rPr>
          <w:rFonts w:ascii="Arial" w:hAnsi="Arial" w:cs="Arial"/>
          <w:b/>
          <w:sz w:val="22"/>
          <w:szCs w:val="22"/>
          <w:lang w:val="en-US"/>
        </w:rPr>
      </w:pPr>
      <w:r w:rsidRPr="000F463B">
        <w:rPr>
          <w:rFonts w:ascii="Arial" w:hAnsi="Arial" w:cs="Arial"/>
          <w:b/>
          <w:noProof/>
          <w:sz w:val="22"/>
          <w:szCs w:val="22"/>
          <w:lang w:val="en-US"/>
        </w:rPr>
        <w:t>Report by the Secretariat on its activities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34DBB" w14:paraId="363A1C03" w14:textId="77777777" w:rsidTr="00EC6F8D">
        <w:trPr>
          <w:jc w:val="center"/>
        </w:trPr>
        <w:tc>
          <w:tcPr>
            <w:tcW w:w="5670" w:type="dxa"/>
            <w:vAlign w:val="center"/>
          </w:tcPr>
          <w:p w14:paraId="7C2CC5CE"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5CAD6ADE" w14:textId="6BED5016" w:rsidR="0020526D" w:rsidRDefault="00AA7918" w:rsidP="00CA56BB">
            <w:pPr>
              <w:pStyle w:val="Sansinterligne2"/>
              <w:spacing w:before="200" w:after="200"/>
              <w:jc w:val="both"/>
              <w:rPr>
                <w:rFonts w:ascii="Arial" w:hAnsi="Arial" w:cs="Arial"/>
                <w:sz w:val="22"/>
                <w:szCs w:val="22"/>
                <w:lang w:val="en-GB"/>
              </w:rPr>
            </w:pPr>
            <w:r>
              <w:rPr>
                <w:rFonts w:ascii="Arial" w:hAnsi="Arial" w:cs="Arial"/>
                <w:sz w:val="22"/>
                <w:szCs w:val="22"/>
                <w:lang w:val="en-GB"/>
              </w:rPr>
              <w:t>This</w:t>
            </w:r>
            <w:r w:rsidR="0020526D" w:rsidRPr="00FA0F3A">
              <w:rPr>
                <w:rFonts w:ascii="Arial" w:hAnsi="Arial" w:cs="Arial"/>
                <w:sz w:val="22"/>
                <w:szCs w:val="22"/>
                <w:lang w:val="en-GB"/>
              </w:rPr>
              <w:t xml:space="preserve"> document </w:t>
            </w:r>
            <w:r w:rsidR="0020526D">
              <w:rPr>
                <w:rFonts w:ascii="Arial" w:hAnsi="Arial" w:cs="Arial"/>
                <w:sz w:val="22"/>
                <w:szCs w:val="22"/>
                <w:lang w:val="en-GB"/>
              </w:rPr>
              <w:t>provides</w:t>
            </w:r>
            <w:r w:rsidR="0020526D" w:rsidRPr="00FA0F3A">
              <w:rPr>
                <w:rFonts w:ascii="Arial" w:hAnsi="Arial" w:cs="Arial"/>
                <w:sz w:val="22"/>
                <w:szCs w:val="22"/>
                <w:lang w:val="en-GB"/>
              </w:rPr>
              <w:t xml:space="preserve"> a</w:t>
            </w:r>
            <w:r w:rsidR="0020526D">
              <w:rPr>
                <w:rFonts w:ascii="Arial" w:hAnsi="Arial" w:cs="Arial"/>
                <w:sz w:val="22"/>
                <w:szCs w:val="22"/>
                <w:lang w:val="en-GB"/>
              </w:rPr>
              <w:t>n</w:t>
            </w:r>
            <w:r w:rsidR="0020526D" w:rsidRPr="00FA0F3A">
              <w:rPr>
                <w:rFonts w:ascii="Arial" w:hAnsi="Arial" w:cs="Arial"/>
                <w:sz w:val="22"/>
                <w:szCs w:val="22"/>
                <w:lang w:val="en-GB"/>
              </w:rPr>
              <w:t xml:space="preserve"> overview of the activities undertaken by the </w:t>
            </w:r>
            <w:r w:rsidR="0020526D">
              <w:rPr>
                <w:rFonts w:ascii="Arial" w:hAnsi="Arial" w:cs="Arial"/>
                <w:sz w:val="22"/>
                <w:szCs w:val="22"/>
                <w:lang w:val="en-GB"/>
              </w:rPr>
              <w:t xml:space="preserve">Secretariat of the </w:t>
            </w:r>
            <w:r w:rsidR="0086679D">
              <w:rPr>
                <w:rFonts w:ascii="Arial" w:hAnsi="Arial" w:cs="Arial"/>
                <w:sz w:val="22"/>
                <w:szCs w:val="22"/>
                <w:lang w:val="en-GB"/>
              </w:rPr>
              <w:t xml:space="preserve">2003 </w:t>
            </w:r>
            <w:r w:rsidR="0020526D">
              <w:rPr>
                <w:rFonts w:ascii="Arial" w:hAnsi="Arial" w:cs="Arial"/>
                <w:sz w:val="22"/>
                <w:szCs w:val="22"/>
                <w:lang w:val="en-GB"/>
              </w:rPr>
              <w:t>Convention for the Safeguarding of the Intangible Cultural Heritage from 1 January 201</w:t>
            </w:r>
            <w:r w:rsidR="00047F0F">
              <w:rPr>
                <w:rFonts w:ascii="Arial" w:hAnsi="Arial" w:cs="Arial"/>
                <w:sz w:val="22"/>
                <w:szCs w:val="22"/>
                <w:lang w:val="en-GB"/>
              </w:rPr>
              <w:t>8</w:t>
            </w:r>
            <w:r w:rsidR="0020526D">
              <w:rPr>
                <w:rFonts w:ascii="Arial" w:hAnsi="Arial" w:cs="Arial"/>
                <w:sz w:val="22"/>
                <w:szCs w:val="22"/>
                <w:lang w:val="en-GB"/>
              </w:rPr>
              <w:t xml:space="preserve"> to 30 June 2018.</w:t>
            </w:r>
          </w:p>
          <w:p w14:paraId="03E9AA62" w14:textId="735CB2DF" w:rsidR="00EC6F8D" w:rsidRPr="00730797" w:rsidRDefault="00EC6F8D">
            <w:pPr>
              <w:pStyle w:val="Sansinterligne2"/>
              <w:spacing w:before="200" w:after="200"/>
              <w:jc w:val="both"/>
              <w:rPr>
                <w:rFonts w:ascii="Arial" w:hAnsi="Arial" w:cs="Arial"/>
                <w:bCs/>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353FE5">
              <w:rPr>
                <w:rFonts w:ascii="Arial" w:hAnsi="Arial" w:cs="Arial"/>
                <w:bCs/>
                <w:sz w:val="22"/>
                <w:szCs w:val="22"/>
                <w:lang w:val="en-GB"/>
              </w:rPr>
              <w:t>17</w:t>
            </w:r>
          </w:p>
        </w:tc>
      </w:tr>
    </w:tbl>
    <w:p w14:paraId="6E517195" w14:textId="1C95D2A8" w:rsidR="0020526D" w:rsidRPr="00EB7914" w:rsidRDefault="00655736" w:rsidP="00E538F9">
      <w:pPr>
        <w:pStyle w:val="COMPara"/>
        <w:numPr>
          <w:ilvl w:val="0"/>
          <w:numId w:val="36"/>
        </w:numPr>
        <w:spacing w:before="360"/>
        <w:ind w:left="567" w:hanging="567"/>
        <w:jc w:val="both"/>
        <w:rPr>
          <w:b/>
        </w:rPr>
      </w:pPr>
      <w:r w:rsidRPr="00414643">
        <w:br w:type="page"/>
      </w:r>
      <w:r w:rsidR="0020526D" w:rsidRPr="00EB7914">
        <w:rPr>
          <w:b/>
        </w:rPr>
        <w:lastRenderedPageBreak/>
        <w:t>Introduction</w:t>
      </w:r>
    </w:p>
    <w:p w14:paraId="261E6846" w14:textId="32168A16" w:rsidR="00055A8D" w:rsidRDefault="0086679D" w:rsidP="00055A8D">
      <w:pPr>
        <w:pStyle w:val="COMPara"/>
        <w:numPr>
          <w:ilvl w:val="0"/>
          <w:numId w:val="5"/>
        </w:numPr>
        <w:ind w:left="567" w:hanging="567"/>
        <w:jc w:val="both"/>
      </w:pPr>
      <w:r>
        <w:t>This</w:t>
      </w:r>
      <w:r w:rsidR="0020526D">
        <w:t xml:space="preserve"> </w:t>
      </w:r>
      <w:r w:rsidR="0020526D" w:rsidRPr="00F41D50">
        <w:t xml:space="preserve">report </w:t>
      </w:r>
      <w:r w:rsidR="0020526D">
        <w:t>concerns the</w:t>
      </w:r>
      <w:r w:rsidR="0020526D" w:rsidRPr="00F41D50">
        <w:t xml:space="preserve"> a</w:t>
      </w:r>
      <w:r w:rsidR="0020526D">
        <w:t>ctivities of the Secretariat</w:t>
      </w:r>
      <w:r w:rsidR="0020526D" w:rsidRPr="00F41D50">
        <w:t xml:space="preserve"> </w:t>
      </w:r>
      <w:r w:rsidR="00177A6F">
        <w:t>from January to June 2018, with t</w:t>
      </w:r>
      <w:r w:rsidR="0020526D">
        <w:t xml:space="preserve">he reporting period </w:t>
      </w:r>
      <w:proofErr w:type="gramStart"/>
      <w:r>
        <w:t xml:space="preserve">being </w:t>
      </w:r>
      <w:r w:rsidR="0020526D">
        <w:t>aligned</w:t>
      </w:r>
      <w:proofErr w:type="gramEnd"/>
      <w:r w:rsidR="0020526D">
        <w:t xml:space="preserve"> </w:t>
      </w:r>
      <w:r w:rsidR="00916E45">
        <w:t xml:space="preserve">to </w:t>
      </w:r>
      <w:r w:rsidR="0020526D" w:rsidRPr="00FB17B8">
        <w:t>the Director-General</w:t>
      </w:r>
      <w:r w:rsidR="0020526D">
        <w:t>’</w:t>
      </w:r>
      <w:r w:rsidR="0020526D" w:rsidRPr="00FB17B8">
        <w:t xml:space="preserve">s reports to the Executive Board on the execution of the programme </w:t>
      </w:r>
      <w:r w:rsidR="000138AC">
        <w:t xml:space="preserve">and budget </w:t>
      </w:r>
      <w:r w:rsidR="0020526D" w:rsidRPr="00FB17B8">
        <w:t>adopted by the General Conference (</w:t>
      </w:r>
      <w:r w:rsidR="000138AC">
        <w:t>document </w:t>
      </w:r>
      <w:r w:rsidR="0020526D" w:rsidRPr="006D2B4B">
        <w:rPr>
          <w:rStyle w:val="Hyperlink"/>
          <w:color w:val="auto"/>
          <w:u w:val="none"/>
        </w:rPr>
        <w:t>20</w:t>
      </w:r>
      <w:r w:rsidR="00047F0F" w:rsidRPr="006D2B4B">
        <w:rPr>
          <w:rStyle w:val="Hyperlink"/>
          <w:color w:val="auto"/>
          <w:u w:val="none"/>
        </w:rPr>
        <w:t>5</w:t>
      </w:r>
      <w:r w:rsidR="0020526D" w:rsidRPr="006D2B4B">
        <w:rPr>
          <w:rStyle w:val="Hyperlink"/>
          <w:color w:val="auto"/>
          <w:u w:val="none"/>
        </w:rPr>
        <w:t> EX/4</w:t>
      </w:r>
      <w:r w:rsidR="0020526D" w:rsidRPr="00FB17B8">
        <w:t>)</w:t>
      </w:r>
      <w:r w:rsidR="0020526D" w:rsidRPr="00F41D50">
        <w:t>.</w:t>
      </w:r>
      <w:r w:rsidR="0020526D">
        <w:t xml:space="preserve"> </w:t>
      </w:r>
      <w:r w:rsidR="00F91985" w:rsidRPr="007427A6">
        <w:t xml:space="preserve">The </w:t>
      </w:r>
      <w:r w:rsidR="00F91985">
        <w:t>report</w:t>
      </w:r>
      <w:r w:rsidR="00F91985" w:rsidRPr="007427A6">
        <w:t xml:space="preserve"> </w:t>
      </w:r>
      <w:r w:rsidR="00F91985">
        <w:t>presents</w:t>
      </w:r>
      <w:r w:rsidR="00F91985" w:rsidRPr="007427A6">
        <w:t xml:space="preserve"> an overall strategic assessment of </w:t>
      </w:r>
      <w:r w:rsidR="00F91985">
        <w:t xml:space="preserve">the </w:t>
      </w:r>
      <w:r w:rsidR="00F91985" w:rsidRPr="007427A6">
        <w:t>programme implementation</w:t>
      </w:r>
      <w:r w:rsidR="00F91985">
        <w:t>,</w:t>
      </w:r>
      <w:r w:rsidR="00F91985" w:rsidRPr="007427A6">
        <w:t xml:space="preserve"> focusing on </w:t>
      </w:r>
      <w:r w:rsidR="00F91985">
        <w:t xml:space="preserve">the </w:t>
      </w:r>
      <w:r w:rsidR="00F91985" w:rsidRPr="007427A6">
        <w:t>key achievements and</w:t>
      </w:r>
      <w:r w:rsidR="00680978">
        <w:t xml:space="preserve"> overall challenges encountered. </w:t>
      </w:r>
      <w:r w:rsidR="00055A8D">
        <w:t xml:space="preserve">Through </w:t>
      </w:r>
      <w:r w:rsidR="005B21C0">
        <w:t>the a</w:t>
      </w:r>
      <w:r w:rsidR="004043E9">
        <w:t>nnex to the document</w:t>
      </w:r>
      <w:r w:rsidR="005B21C0">
        <w:t>,</w:t>
      </w:r>
      <w:r w:rsidR="004043E9">
        <w:t xml:space="preserve"> </w:t>
      </w:r>
      <w:r w:rsidR="00055A8D">
        <w:t xml:space="preserve">the report </w:t>
      </w:r>
      <w:r w:rsidR="004043E9">
        <w:t xml:space="preserve">seeks </w:t>
      </w:r>
      <w:r w:rsidR="00680978">
        <w:t xml:space="preserve">to </w:t>
      </w:r>
      <w:r w:rsidR="004043E9">
        <w:t>demonstrate</w:t>
      </w:r>
      <w:r w:rsidR="00680978">
        <w:t xml:space="preserve"> the relevance of </w:t>
      </w:r>
      <w:r w:rsidR="005B21C0">
        <w:t>the</w:t>
      </w:r>
      <w:r w:rsidR="00680978">
        <w:t xml:space="preserve"> </w:t>
      </w:r>
      <w:r w:rsidR="005B21C0">
        <w:t xml:space="preserve">Secretariat’s </w:t>
      </w:r>
      <w:r w:rsidR="00680978">
        <w:t>work</w:t>
      </w:r>
      <w:r w:rsidR="0020526D" w:rsidRPr="00F41D50">
        <w:t xml:space="preserve"> </w:t>
      </w:r>
      <w:r w:rsidR="00680978">
        <w:t xml:space="preserve">in relation to </w:t>
      </w:r>
      <w:r w:rsidR="0020526D">
        <w:t xml:space="preserve">the </w:t>
      </w:r>
      <w:r w:rsidR="0020526D" w:rsidRPr="00224E80">
        <w:t>3</w:t>
      </w:r>
      <w:r w:rsidR="009E55F7">
        <w:t>9</w:t>
      </w:r>
      <w:r w:rsidR="0020526D" w:rsidRPr="00224E80">
        <w:t> C/5</w:t>
      </w:r>
      <w:r w:rsidR="0020526D">
        <w:t xml:space="preserve"> results framework</w:t>
      </w:r>
      <w:r w:rsidR="0020526D" w:rsidRPr="00224E80">
        <w:t xml:space="preserve"> </w:t>
      </w:r>
      <w:r w:rsidR="0020526D" w:rsidRPr="00700B9E">
        <w:t>and</w:t>
      </w:r>
      <w:r w:rsidR="0020526D">
        <w:t>,</w:t>
      </w:r>
      <w:r w:rsidR="0020526D" w:rsidRPr="00700B9E">
        <w:t xml:space="preserve"> more specifically, the performance</w:t>
      </w:r>
      <w:r w:rsidR="009E55F7">
        <w:t xml:space="preserve"> indicators of Expected Result 6</w:t>
      </w:r>
      <w:r w:rsidR="0020526D" w:rsidRPr="00700B9E">
        <w:t xml:space="preserve"> within Major</w:t>
      </w:r>
      <w:r w:rsidR="0020526D" w:rsidRPr="00F41D50">
        <w:t xml:space="preserve"> Programme IV</w:t>
      </w:r>
      <w:r w:rsidR="0020526D" w:rsidRPr="00033546">
        <w:t xml:space="preserve">. </w:t>
      </w:r>
      <w:r w:rsidR="00680978">
        <w:t xml:space="preserve">The report </w:t>
      </w:r>
      <w:r>
        <w:t>is also intended</w:t>
      </w:r>
      <w:r w:rsidR="004043E9">
        <w:t xml:space="preserve"> </w:t>
      </w:r>
      <w:r w:rsidR="00D40315">
        <w:t xml:space="preserve">to highlight the progress </w:t>
      </w:r>
      <w:r>
        <w:t xml:space="preserve">made </w:t>
      </w:r>
      <w:r w:rsidR="00D40315">
        <w:t xml:space="preserve">in relation to the </w:t>
      </w:r>
      <w:r w:rsidR="0020526D" w:rsidRPr="00612CE5">
        <w:t xml:space="preserve">results framework approved by the Bureau of the </w:t>
      </w:r>
      <w:r w:rsidR="0020526D" w:rsidRPr="00E538F9">
        <w:t xml:space="preserve">Committee </w:t>
      </w:r>
      <w:r w:rsidR="00DD2C4B" w:rsidRPr="00E538F9">
        <w:t>(</w:t>
      </w:r>
      <w:hyperlink r:id="rId8" w:history="1">
        <w:r w:rsidR="00DD2C4B" w:rsidRPr="00E538F9">
          <w:rPr>
            <w:rStyle w:val="Hyperlink"/>
          </w:rPr>
          <w:t>Decision 13.COM 2.BUR 3</w:t>
        </w:r>
      </w:hyperlink>
      <w:r w:rsidR="00DD2C4B" w:rsidRPr="00E538F9">
        <w:t xml:space="preserve">) </w:t>
      </w:r>
      <w:r w:rsidR="0020526D" w:rsidRPr="00E538F9">
        <w:t>concerning the utilization of the funds made available from the Intangible Cultural Heritage</w:t>
      </w:r>
      <w:r w:rsidR="0020526D" w:rsidRPr="00612CE5">
        <w:t xml:space="preserve"> Fund for </w:t>
      </w:r>
      <w:r w:rsidR="0020526D">
        <w:t>‘</w:t>
      </w:r>
      <w:r w:rsidR="0020526D" w:rsidRPr="00612CE5">
        <w:t>Other Functions of the Committee</w:t>
      </w:r>
      <w:r w:rsidR="0020526D">
        <w:t>’</w:t>
      </w:r>
      <w:r w:rsidR="00DD2C4B">
        <w:t>.</w:t>
      </w:r>
    </w:p>
    <w:p w14:paraId="1164835F" w14:textId="0231E625" w:rsidR="00DD2C4B" w:rsidRPr="00E538F9" w:rsidRDefault="00055A8D" w:rsidP="00AE41F3">
      <w:pPr>
        <w:pStyle w:val="COMPara"/>
        <w:numPr>
          <w:ilvl w:val="0"/>
          <w:numId w:val="5"/>
        </w:numPr>
        <w:ind w:left="567" w:hanging="567"/>
        <w:jc w:val="both"/>
      </w:pPr>
      <w:proofErr w:type="gramStart"/>
      <w:r>
        <w:t>This</w:t>
      </w:r>
      <w:r w:rsidRPr="00033546">
        <w:t xml:space="preserve"> </w:t>
      </w:r>
      <w:r>
        <w:t xml:space="preserve">document </w:t>
      </w:r>
      <w:r w:rsidRPr="00033546">
        <w:t xml:space="preserve">should be read in tandem with </w:t>
      </w:r>
      <w:r>
        <w:t>three information documents, namely: outreach and communication (</w:t>
      </w:r>
      <w:r w:rsidRPr="00E538F9">
        <w:t xml:space="preserve">document </w:t>
      </w:r>
      <w:hyperlink r:id="rId9" w:history="1">
        <w:r w:rsidRPr="00E538F9">
          <w:rPr>
            <w:rStyle w:val="Hyperlink"/>
          </w:rPr>
          <w:t>ITH/18/13.COM/INF.5.1</w:t>
        </w:r>
      </w:hyperlink>
      <w:r w:rsidRPr="00E538F9">
        <w:t>)</w:t>
      </w:r>
      <w:r w:rsidR="0086679D" w:rsidRPr="00E538F9">
        <w:t>;</w:t>
      </w:r>
      <w:r w:rsidRPr="00E538F9">
        <w:t xml:space="preserve"> the financial report of the Fund of the Convention (</w:t>
      </w:r>
      <w:r w:rsidRPr="00E538F9">
        <w:rPr>
          <w:rFonts w:eastAsiaTheme="minorEastAsia"/>
          <w:lang w:eastAsia="ko-KR"/>
        </w:rPr>
        <w:t>d</w:t>
      </w:r>
      <w:r w:rsidRPr="00E538F9">
        <w:t xml:space="preserve">ocument </w:t>
      </w:r>
      <w:hyperlink r:id="rId10" w:history="1">
        <w:r w:rsidRPr="00E538F9">
          <w:rPr>
            <w:rStyle w:val="Hyperlink"/>
            <w:rFonts w:eastAsiaTheme="minorEastAsia"/>
            <w:iCs/>
            <w:lang w:eastAsia="ko-KR"/>
          </w:rPr>
          <w:t>ITH/18/13.COM/INF.5.2</w:t>
        </w:r>
      </w:hyperlink>
      <w:r w:rsidRPr="00E538F9">
        <w:t>) and</w:t>
      </w:r>
      <w:r w:rsidR="0086679D" w:rsidRPr="00E538F9">
        <w:t>;</w:t>
      </w:r>
      <w:r w:rsidRPr="00E538F9">
        <w:t xml:space="preserve"> an overview of the current use of the </w:t>
      </w:r>
      <w:r w:rsidRPr="00E538F9">
        <w:rPr>
          <w:lang w:val="en-US"/>
        </w:rPr>
        <w:t xml:space="preserve">International Assistance mechanism and the global capacity-building </w:t>
      </w:r>
      <w:proofErr w:type="spellStart"/>
      <w:r w:rsidRPr="00E538F9">
        <w:rPr>
          <w:lang w:val="en-US"/>
        </w:rPr>
        <w:t>programme</w:t>
      </w:r>
      <w:proofErr w:type="spellEnd"/>
      <w:r w:rsidRPr="00E538F9">
        <w:rPr>
          <w:lang w:val="en-US"/>
        </w:rPr>
        <w:t xml:space="preserve"> in relation to elements on the List of Intangible Cultural Heritage in Need of Urgent Safeguarding (document </w:t>
      </w:r>
      <w:hyperlink r:id="rId11" w:history="1">
        <w:r w:rsidRPr="00E538F9">
          <w:rPr>
            <w:rStyle w:val="Hyperlink"/>
            <w:rFonts w:eastAsiaTheme="minorEastAsia"/>
            <w:iCs/>
            <w:lang w:eastAsia="ko-KR"/>
          </w:rPr>
          <w:t>ITH/18/13.COM/INF.5.3</w:t>
        </w:r>
      </w:hyperlink>
      <w:r w:rsidRPr="00E538F9">
        <w:rPr>
          <w:rFonts w:eastAsiaTheme="minorEastAsia"/>
          <w:iCs/>
          <w:lang w:eastAsia="ko-KR"/>
        </w:rPr>
        <w:t>)</w:t>
      </w:r>
      <w:r w:rsidRPr="00E538F9">
        <w:t>.</w:t>
      </w:r>
      <w:proofErr w:type="gramEnd"/>
    </w:p>
    <w:p w14:paraId="3C361483" w14:textId="77777777" w:rsidR="0020526D" w:rsidRPr="00FF1667" w:rsidRDefault="0020526D" w:rsidP="0020526D">
      <w:pPr>
        <w:pStyle w:val="COMPara"/>
        <w:numPr>
          <w:ilvl w:val="0"/>
          <w:numId w:val="0"/>
        </w:numPr>
        <w:spacing w:before="360"/>
        <w:ind w:left="567" w:hanging="567"/>
        <w:jc w:val="both"/>
        <w:rPr>
          <w:b/>
        </w:rPr>
      </w:pPr>
      <w:r>
        <w:rPr>
          <w:b/>
        </w:rPr>
        <w:t>II.</w:t>
      </w:r>
      <w:r w:rsidRPr="00FF1667">
        <w:rPr>
          <w:b/>
        </w:rPr>
        <w:tab/>
        <w:t>Key achievements</w:t>
      </w:r>
    </w:p>
    <w:p w14:paraId="01BDA85B" w14:textId="77777777" w:rsidR="0020526D" w:rsidRPr="00284330" w:rsidRDefault="0020526D" w:rsidP="0020526D">
      <w:pPr>
        <w:pStyle w:val="COMPara"/>
        <w:keepNext/>
        <w:numPr>
          <w:ilvl w:val="0"/>
          <w:numId w:val="0"/>
        </w:numPr>
        <w:spacing w:before="240"/>
        <w:jc w:val="both"/>
        <w:rPr>
          <w:b/>
          <w:lang w:val="en-US"/>
        </w:rPr>
      </w:pPr>
      <w:r w:rsidRPr="00284330">
        <w:rPr>
          <w:b/>
          <w:lang w:val="en-US"/>
        </w:rPr>
        <w:t>Statutory support</w:t>
      </w:r>
    </w:p>
    <w:p w14:paraId="167EA9EC" w14:textId="2D21638E" w:rsidR="0020526D" w:rsidRDefault="0062614A" w:rsidP="00B12EB4">
      <w:pPr>
        <w:pStyle w:val="COMPara"/>
        <w:ind w:left="567" w:hanging="567"/>
        <w:jc w:val="both"/>
      </w:pPr>
      <w:r>
        <w:t xml:space="preserve">In terms of support for the governance of the Convention, </w:t>
      </w:r>
      <w:r w:rsidR="00B6554E">
        <w:t xml:space="preserve">the Secretariat </w:t>
      </w:r>
      <w:r w:rsidR="00E23153">
        <w:t>kept</w:t>
      </w:r>
      <w:r w:rsidR="008F69E6">
        <w:t xml:space="preserve"> pace</w:t>
      </w:r>
      <w:r w:rsidR="00B6554E">
        <w:t xml:space="preserve"> with the </w:t>
      </w:r>
      <w:r w:rsidR="0086679D">
        <w:t xml:space="preserve">intense </w:t>
      </w:r>
      <w:r w:rsidR="008F69E6">
        <w:t xml:space="preserve">statutory schedule of up to twenty meetings </w:t>
      </w:r>
      <w:r w:rsidR="0086679D">
        <w:t xml:space="preserve">planned </w:t>
      </w:r>
      <w:r w:rsidR="008F69E6">
        <w:t xml:space="preserve">for the biennium. </w:t>
      </w:r>
      <w:r w:rsidR="00B6554E">
        <w:t>T</w:t>
      </w:r>
      <w:r w:rsidR="006F7E10" w:rsidRPr="006F7E10">
        <w:t xml:space="preserve">he reporting period was marked by the </w:t>
      </w:r>
      <w:r w:rsidRPr="00255880">
        <w:rPr>
          <w:b/>
        </w:rPr>
        <w:t xml:space="preserve">seventh </w:t>
      </w:r>
      <w:r w:rsidR="006F7E10" w:rsidRPr="00255880">
        <w:rPr>
          <w:b/>
        </w:rPr>
        <w:t>session of the General Assembly</w:t>
      </w:r>
      <w:r w:rsidR="006F7E10" w:rsidRPr="006F7E10">
        <w:t xml:space="preserve"> of the S</w:t>
      </w:r>
      <w:r w:rsidR="00B6554E">
        <w:t>tates Parties to the Convention</w:t>
      </w:r>
      <w:r w:rsidR="006F7E10" w:rsidRPr="006F7E10">
        <w:t xml:space="preserve">. This session approved the overall results framework for the Convention and revised the Operational Directives to reform the </w:t>
      </w:r>
      <w:r w:rsidR="00AA7D1A">
        <w:t>p</w:t>
      </w:r>
      <w:r w:rsidR="00AA7D1A" w:rsidRPr="006F7E10">
        <w:t xml:space="preserve">eriodic </w:t>
      </w:r>
      <w:r w:rsidR="00AA7D1A">
        <w:t>r</w:t>
      </w:r>
      <w:r w:rsidR="00AA7D1A" w:rsidRPr="006F7E10">
        <w:t xml:space="preserve">eporting </w:t>
      </w:r>
      <w:r w:rsidR="006B5DA9">
        <w:t>mechanisms</w:t>
      </w:r>
      <w:r w:rsidR="006F7E10" w:rsidRPr="006F7E10">
        <w:t xml:space="preserve">. </w:t>
      </w:r>
      <w:r>
        <w:t xml:space="preserve">The Assembly </w:t>
      </w:r>
      <w:r w:rsidR="006F7E10" w:rsidRPr="006F7E10">
        <w:t xml:space="preserve">also welcomed new initiatives </w:t>
      </w:r>
      <w:r w:rsidR="0086679D">
        <w:t>by</w:t>
      </w:r>
      <w:r w:rsidR="0086679D" w:rsidRPr="006F7E10">
        <w:t xml:space="preserve"> </w:t>
      </w:r>
      <w:r w:rsidR="006F7E10" w:rsidRPr="006F7E10">
        <w:t>the Secretariat related to</w:t>
      </w:r>
      <w:r w:rsidR="0086679D">
        <w:t>:</w:t>
      </w:r>
      <w:r w:rsidR="006F7E10" w:rsidRPr="006F7E10">
        <w:t xml:space="preserve"> (</w:t>
      </w:r>
      <w:r w:rsidR="00B61CA4">
        <w:t>a</w:t>
      </w:r>
      <w:r w:rsidR="006F7E10" w:rsidRPr="006F7E10">
        <w:t xml:space="preserve">) </w:t>
      </w:r>
      <w:r>
        <w:t xml:space="preserve">the </w:t>
      </w:r>
      <w:r w:rsidR="0086679D">
        <w:t xml:space="preserve">operationalization </w:t>
      </w:r>
      <w:r>
        <w:t>of the International Assistance mechanism</w:t>
      </w:r>
      <w:r w:rsidR="0086679D">
        <w:t>;</w:t>
      </w:r>
      <w:r>
        <w:t xml:space="preserve"> (</w:t>
      </w:r>
      <w:r w:rsidR="00B61CA4">
        <w:t>b</w:t>
      </w:r>
      <w:r>
        <w:t xml:space="preserve">) </w:t>
      </w:r>
      <w:r w:rsidR="006F7E10" w:rsidRPr="006F7E10">
        <w:t>safeguarding intangible cultural heritage in emergencies</w:t>
      </w:r>
      <w:r w:rsidR="0086679D">
        <w:t>;</w:t>
      </w:r>
      <w:r w:rsidR="006F7E10" w:rsidRPr="006F7E10">
        <w:t xml:space="preserve"> (</w:t>
      </w:r>
      <w:r w:rsidR="00B61CA4">
        <w:t>c</w:t>
      </w:r>
      <w:r w:rsidR="006F7E10" w:rsidRPr="006F7E10">
        <w:t xml:space="preserve">) intangible cultural heritage in education as a contribution to the </w:t>
      </w:r>
      <w:r w:rsidR="003F136C">
        <w:t>Sustainable Development Goals (</w:t>
      </w:r>
      <w:r w:rsidR="006F7E10" w:rsidRPr="006F7E10">
        <w:t>SDGs</w:t>
      </w:r>
      <w:r w:rsidR="003F136C">
        <w:t>)</w:t>
      </w:r>
      <w:r w:rsidR="006F7E10" w:rsidRPr="006F7E10">
        <w:t>, and</w:t>
      </w:r>
      <w:r w:rsidR="0086679D">
        <w:t>;</w:t>
      </w:r>
      <w:r w:rsidR="006F7E10" w:rsidRPr="006F7E10">
        <w:t xml:space="preserve"> (</w:t>
      </w:r>
      <w:r w:rsidR="00B61CA4">
        <w:t>d</w:t>
      </w:r>
      <w:r w:rsidR="006F7E10" w:rsidRPr="006F7E10">
        <w:t>) communica</w:t>
      </w:r>
      <w:r>
        <w:t>tions and outreach.</w:t>
      </w:r>
      <w:r w:rsidR="007F1AD8">
        <w:t xml:space="preserve"> </w:t>
      </w:r>
      <w:r w:rsidR="008B1BA7">
        <w:t>T</w:t>
      </w:r>
      <w:r w:rsidR="006F7E10">
        <w:t>he Secretariat also organized t</w:t>
      </w:r>
      <w:r w:rsidR="006F7E10" w:rsidRPr="006F7E10">
        <w:t>wo meetings</w:t>
      </w:r>
      <w:r w:rsidR="008B1BA7">
        <w:t xml:space="preserve"> </w:t>
      </w:r>
      <w:r w:rsidR="006F7E10" w:rsidRPr="006F7E10">
        <w:t xml:space="preserve">of the </w:t>
      </w:r>
      <w:r w:rsidR="006F7E10" w:rsidRPr="00255880">
        <w:rPr>
          <w:b/>
        </w:rPr>
        <w:t>Evaluation Body</w:t>
      </w:r>
      <w:r w:rsidR="006F7E10" w:rsidRPr="006F7E10">
        <w:t xml:space="preserve"> to evaluate </w:t>
      </w:r>
      <w:r w:rsidR="0086679D">
        <w:t>fifty</w:t>
      </w:r>
      <w:r w:rsidR="005C6DC2">
        <w:t> </w:t>
      </w:r>
      <w:r w:rsidR="006F7E10" w:rsidRPr="006F7E10">
        <w:t xml:space="preserve">nomination files for the 2018 cycle. </w:t>
      </w:r>
      <w:r w:rsidR="001F356E">
        <w:t>A</w:t>
      </w:r>
      <w:r w:rsidR="006F7E10" w:rsidRPr="006F7E10">
        <w:t xml:space="preserve">nother </w:t>
      </w:r>
      <w:r w:rsidR="001F356E">
        <w:t xml:space="preserve">set of </w:t>
      </w:r>
      <w:r w:rsidR="0086679D">
        <w:t>fifty-one</w:t>
      </w:r>
      <w:r w:rsidR="0086679D" w:rsidRPr="006F7E10">
        <w:t xml:space="preserve"> </w:t>
      </w:r>
      <w:r w:rsidR="006F7E10" w:rsidRPr="006F7E10">
        <w:t xml:space="preserve">nomination files for the 2019 cycle </w:t>
      </w:r>
      <w:proofErr w:type="gramStart"/>
      <w:r w:rsidR="001F356E">
        <w:t>were administered</w:t>
      </w:r>
      <w:proofErr w:type="gramEnd"/>
      <w:r w:rsidR="001F356E">
        <w:t xml:space="preserve"> </w:t>
      </w:r>
      <w:r w:rsidR="006F7E10" w:rsidRPr="006F7E10">
        <w:t>for technical completeness in time for the statutory deadline.</w:t>
      </w:r>
      <w:r w:rsidR="001F356E">
        <w:t xml:space="preserve"> </w:t>
      </w:r>
      <w:r w:rsidR="005A5DFA">
        <w:t xml:space="preserve">Two meetings of the </w:t>
      </w:r>
      <w:r w:rsidR="005A5DFA" w:rsidRPr="00255880">
        <w:rPr>
          <w:b/>
        </w:rPr>
        <w:t>Bureau</w:t>
      </w:r>
      <w:r w:rsidR="005A5DFA">
        <w:t xml:space="preserve"> </w:t>
      </w:r>
      <w:proofErr w:type="gramStart"/>
      <w:r w:rsidR="005A5DFA">
        <w:t xml:space="preserve">were also </w:t>
      </w:r>
      <w:r w:rsidR="00D5442F">
        <w:t>convened</w:t>
      </w:r>
      <w:proofErr w:type="gramEnd"/>
      <w:r w:rsidR="008B1BA7">
        <w:t xml:space="preserve"> </w:t>
      </w:r>
      <w:r w:rsidR="00B6554E">
        <w:t xml:space="preserve">to examine </w:t>
      </w:r>
      <w:r w:rsidR="00916E45">
        <w:t xml:space="preserve">17 </w:t>
      </w:r>
      <w:r w:rsidR="00B6554E">
        <w:t xml:space="preserve">International Assistance requests and other </w:t>
      </w:r>
      <w:r w:rsidR="008F69E6">
        <w:t xml:space="preserve">governance </w:t>
      </w:r>
      <w:r w:rsidR="00B6554E">
        <w:t>issues. Furthermore, a</w:t>
      </w:r>
      <w:r w:rsidR="008B1BA7">
        <w:t>n exchange and information meeting</w:t>
      </w:r>
      <w:r w:rsidR="00B6554E">
        <w:t xml:space="preserve"> took place</w:t>
      </w:r>
      <w:r w:rsidR="008B1BA7">
        <w:t xml:space="preserve"> </w:t>
      </w:r>
      <w:r w:rsidR="00B6554E">
        <w:t>to inform States about</w:t>
      </w:r>
      <w:r w:rsidR="008B1BA7">
        <w:t xml:space="preserve"> the overall results framework</w:t>
      </w:r>
      <w:r w:rsidR="00B6554E">
        <w:t xml:space="preserve"> before the seventh session of the General Assembly</w:t>
      </w:r>
      <w:r w:rsidR="008B1BA7">
        <w:t>.</w:t>
      </w:r>
      <w:r w:rsidR="00BA3014">
        <w:t xml:space="preserve"> Support </w:t>
      </w:r>
      <w:proofErr w:type="gramStart"/>
      <w:r w:rsidR="00BA3014">
        <w:t>was also provided</w:t>
      </w:r>
      <w:proofErr w:type="gramEnd"/>
      <w:r w:rsidR="00BA3014">
        <w:t xml:space="preserve"> to the informal ad hoc open-ended working group of the </w:t>
      </w:r>
      <w:r w:rsidR="003B1EFA">
        <w:t>Convention</w:t>
      </w:r>
      <w:r w:rsidR="00BA3014">
        <w:t>.</w:t>
      </w:r>
    </w:p>
    <w:p w14:paraId="62F23426" w14:textId="2762C9A0" w:rsidR="00F0515A" w:rsidRPr="00284330" w:rsidRDefault="00284330" w:rsidP="00F0515A">
      <w:pPr>
        <w:pStyle w:val="COMPara"/>
        <w:keepNext/>
        <w:numPr>
          <w:ilvl w:val="0"/>
          <w:numId w:val="0"/>
        </w:numPr>
        <w:spacing w:before="240"/>
        <w:jc w:val="both"/>
        <w:rPr>
          <w:b/>
          <w:lang w:val="en-US"/>
        </w:rPr>
      </w:pPr>
      <w:r>
        <w:rPr>
          <w:b/>
          <w:lang w:val="en-US"/>
        </w:rPr>
        <w:t>M</w:t>
      </w:r>
      <w:r w:rsidR="00F0515A" w:rsidRPr="00284330">
        <w:rPr>
          <w:b/>
          <w:lang w:val="en-US"/>
        </w:rPr>
        <w:t>onitoring the implementation and impact of the Convention</w:t>
      </w:r>
    </w:p>
    <w:p w14:paraId="7BCA8073" w14:textId="1C8D9880" w:rsidR="00FC3C29" w:rsidRDefault="00FC3C29" w:rsidP="00FB5EDC">
      <w:pPr>
        <w:pStyle w:val="COMPara"/>
        <w:ind w:left="567" w:hanging="567"/>
        <w:jc w:val="both"/>
      </w:pPr>
      <w:r>
        <w:t xml:space="preserve">The adoption of the </w:t>
      </w:r>
      <w:r>
        <w:rPr>
          <w:b/>
          <w:bCs/>
        </w:rPr>
        <w:t>overall results framework</w:t>
      </w:r>
      <w:r>
        <w:t xml:space="preserve">, which </w:t>
      </w:r>
      <w:proofErr w:type="gramStart"/>
      <w:r>
        <w:t>was achieved</w:t>
      </w:r>
      <w:proofErr w:type="gramEnd"/>
      <w:r>
        <w:t xml:space="preserve"> through intergovernmental discussions over five years, means that the Convention has gained a substantial monitoring tool to </w:t>
      </w:r>
      <w:r w:rsidR="000138AC">
        <w:t xml:space="preserve">assess </w:t>
      </w:r>
      <w:r>
        <w:t xml:space="preserve">its impact and relevance at various levels. Since its approval, the Secretariat has initiated work to facilitate the implementation of that framework, notably through </w:t>
      </w:r>
      <w:r>
        <w:rPr>
          <w:rStyle w:val="hps"/>
        </w:rPr>
        <w:t>the development of guidance notes to assist States Parties in the collection of relevant information for each of the twenty-six indicators</w:t>
      </w:r>
      <w:r>
        <w:t xml:space="preserve">. Given that the usefulness of the overall results framework depends directly on the periodic reporting process, the seventh session of the General Assembly revised the Operational Directives to </w:t>
      </w:r>
      <w:r>
        <w:rPr>
          <w:b/>
          <w:bCs/>
        </w:rPr>
        <w:t xml:space="preserve">reform the periodic reporting </w:t>
      </w:r>
      <w:r w:rsidRPr="00FC3C29">
        <w:rPr>
          <w:b/>
          <w:bCs/>
        </w:rPr>
        <w:t>mechanism</w:t>
      </w:r>
      <w:r w:rsidRPr="00FC3C29">
        <w:t xml:space="preserve"> </w:t>
      </w:r>
      <w:r w:rsidRPr="00FF6472">
        <w:rPr>
          <w:color w:val="000000"/>
        </w:rPr>
        <w:t xml:space="preserve">by moving to </w:t>
      </w:r>
      <w:r w:rsidRPr="00FF6472">
        <w:t xml:space="preserve">a regional cycle of reporting </w:t>
      </w:r>
      <w:r w:rsidRPr="00FF6472">
        <w:rPr>
          <w:color w:val="000000"/>
        </w:rPr>
        <w:t xml:space="preserve">and to align the reporting </w:t>
      </w:r>
      <w:r w:rsidRPr="00FF6472">
        <w:t>with the overall results framework</w:t>
      </w:r>
      <w:r w:rsidRPr="00FC3C29">
        <w:t>. As part of its</w:t>
      </w:r>
      <w:r>
        <w:t xml:space="preserve"> support for this reform, the Secretariat is reporting to the present session of the Committee on the transition towards this reform (document </w:t>
      </w:r>
      <w:hyperlink r:id="rId12" w:history="1">
        <w:r w:rsidRPr="002B6112">
          <w:rPr>
            <w:rStyle w:val="Hyperlink"/>
          </w:rPr>
          <w:t>ITH/18/13.COM/8</w:t>
        </w:r>
      </w:hyperlink>
      <w:r>
        <w:t>).</w:t>
      </w:r>
    </w:p>
    <w:p w14:paraId="7E9718A9" w14:textId="144B52A5" w:rsidR="0020526D" w:rsidRPr="00FC3C29" w:rsidRDefault="0020526D">
      <w:pPr>
        <w:pStyle w:val="COMPara"/>
        <w:keepNext/>
        <w:numPr>
          <w:ilvl w:val="0"/>
          <w:numId w:val="0"/>
        </w:numPr>
        <w:spacing w:before="240"/>
        <w:jc w:val="both"/>
        <w:rPr>
          <w:b/>
          <w:lang w:val="en-US"/>
        </w:rPr>
      </w:pPr>
      <w:r w:rsidRPr="00FC3C29">
        <w:rPr>
          <w:b/>
          <w:lang w:val="en-US"/>
        </w:rPr>
        <w:lastRenderedPageBreak/>
        <w:t xml:space="preserve">International </w:t>
      </w:r>
      <w:r w:rsidR="003F136C" w:rsidRPr="00FC3C29">
        <w:rPr>
          <w:b/>
          <w:lang w:val="en-US"/>
        </w:rPr>
        <w:t>Assistance</w:t>
      </w:r>
    </w:p>
    <w:p w14:paraId="72D61655" w14:textId="7A576504" w:rsidR="00F0515A" w:rsidRPr="00B12EB4" w:rsidRDefault="00521D5E" w:rsidP="00B12EB4">
      <w:pPr>
        <w:pStyle w:val="COMPara"/>
        <w:ind w:left="567" w:hanging="567"/>
        <w:jc w:val="both"/>
        <w:rPr>
          <w:lang w:val="en-US"/>
        </w:rPr>
      </w:pPr>
      <w:proofErr w:type="gramStart"/>
      <w:r>
        <w:t xml:space="preserve">The </w:t>
      </w:r>
      <w:r w:rsidR="00EB0C1C">
        <w:rPr>
          <w:b/>
        </w:rPr>
        <w:t>significantly high</w:t>
      </w:r>
      <w:r w:rsidR="004D748D">
        <w:rPr>
          <w:b/>
        </w:rPr>
        <w:t>er</w:t>
      </w:r>
      <w:r w:rsidR="00BF7CE0" w:rsidRPr="001C789E">
        <w:rPr>
          <w:b/>
          <w:lang w:val="en-US"/>
        </w:rPr>
        <w:t xml:space="preserve"> expenditure </w:t>
      </w:r>
      <w:r w:rsidRPr="001C789E">
        <w:rPr>
          <w:b/>
          <w:lang w:val="en-US"/>
        </w:rPr>
        <w:t>rate</w:t>
      </w:r>
      <w:r>
        <w:rPr>
          <w:lang w:val="en-US"/>
        </w:rPr>
        <w:t xml:space="preserve"> </w:t>
      </w:r>
      <w:r w:rsidR="00BF7CE0">
        <w:rPr>
          <w:lang w:val="en-US"/>
        </w:rPr>
        <w:t>of International Assistance</w:t>
      </w:r>
      <w:r w:rsidR="00153A6B">
        <w:rPr>
          <w:lang w:val="en-US"/>
        </w:rPr>
        <w:t>,</w:t>
      </w:r>
      <w:r>
        <w:rPr>
          <w:lang w:val="en-US"/>
        </w:rPr>
        <w:t xml:space="preserve"> </w:t>
      </w:r>
      <w:r w:rsidR="00153A6B">
        <w:rPr>
          <w:lang w:val="en-US"/>
        </w:rPr>
        <w:t xml:space="preserve">as </w:t>
      </w:r>
      <w:r w:rsidR="001E7B91">
        <w:rPr>
          <w:lang w:val="en-US"/>
        </w:rPr>
        <w:t xml:space="preserve">reported </w:t>
      </w:r>
      <w:r>
        <w:rPr>
          <w:lang w:val="en-US"/>
        </w:rPr>
        <w:t>to the present session of the Committee (</w:t>
      </w:r>
      <w:r w:rsidR="001E7B91" w:rsidRPr="002B6112">
        <w:rPr>
          <w:lang w:val="en-US"/>
        </w:rPr>
        <w:t>document</w:t>
      </w:r>
      <w:r w:rsidR="006F704E" w:rsidRPr="002B6112">
        <w:t xml:space="preserve"> </w:t>
      </w:r>
      <w:hyperlink r:id="rId13" w:history="1">
        <w:r w:rsidR="006F704E" w:rsidRPr="002B6112">
          <w:rPr>
            <w:rStyle w:val="Hyperlink"/>
            <w:rFonts w:eastAsiaTheme="minorEastAsia"/>
            <w:iCs/>
            <w:lang w:eastAsia="ko-KR"/>
          </w:rPr>
          <w:t>ITH/18/13.COM/INF.5.2</w:t>
        </w:r>
      </w:hyperlink>
      <w:r>
        <w:rPr>
          <w:rFonts w:eastAsiaTheme="minorEastAsia"/>
          <w:iCs/>
          <w:lang w:eastAsia="ko-KR"/>
        </w:rPr>
        <w:t>)</w:t>
      </w:r>
      <w:r w:rsidR="00153A6B">
        <w:rPr>
          <w:rFonts w:eastAsiaTheme="minorEastAsia"/>
          <w:iCs/>
          <w:lang w:eastAsia="ko-KR"/>
        </w:rPr>
        <w:t>,</w:t>
      </w:r>
      <w:r w:rsidR="00E029DA">
        <w:t xml:space="preserve"> </w:t>
      </w:r>
      <w:r w:rsidR="00153A6B">
        <w:t xml:space="preserve">is the result of States Parties </w:t>
      </w:r>
      <w:r w:rsidR="0086679D">
        <w:t xml:space="preserve">having gained easier access </w:t>
      </w:r>
      <w:r w:rsidR="00153A6B">
        <w:t>to the Intangible Cultural Heritage Fund following the</w:t>
      </w:r>
      <w:r w:rsidR="00ED5697">
        <w:t xml:space="preserve"> </w:t>
      </w:r>
      <w:r w:rsidR="0086679D">
        <w:t xml:space="preserve">increase </w:t>
      </w:r>
      <w:r w:rsidR="00246BCD">
        <w:t xml:space="preserve">in 2016 </w:t>
      </w:r>
      <w:r w:rsidR="00153A6B">
        <w:t xml:space="preserve">of </w:t>
      </w:r>
      <w:r w:rsidR="0086679D">
        <w:t xml:space="preserve">the </w:t>
      </w:r>
      <w:r w:rsidR="00ED5697">
        <w:t>ceiling</w:t>
      </w:r>
      <w:r w:rsidR="001E7B91">
        <w:t xml:space="preserve"> for the amount of International Assistance that the Bureau</w:t>
      </w:r>
      <w:r w:rsidR="007C0BEB">
        <w:t xml:space="preserve"> of the Committee</w:t>
      </w:r>
      <w:r w:rsidR="001E7B91">
        <w:t xml:space="preserve"> is</w:t>
      </w:r>
      <w:r w:rsidR="00153A6B">
        <w:t xml:space="preserve"> entrusted to examine</w:t>
      </w:r>
      <w:r w:rsidR="00AA7D1A">
        <w:t>,</w:t>
      </w:r>
      <w:r w:rsidR="00AA7D1A" w:rsidRPr="00AA7D1A">
        <w:t xml:space="preserve"> </w:t>
      </w:r>
      <w:r w:rsidR="00AA7D1A">
        <w:t>up to US$100,000</w:t>
      </w:r>
      <w:r w:rsidR="00153A6B">
        <w:t>.</w:t>
      </w:r>
      <w:proofErr w:type="gramEnd"/>
      <w:r w:rsidR="007C0BEB">
        <w:t xml:space="preserve"> </w:t>
      </w:r>
      <w:r w:rsidR="00BB299B">
        <w:t>However, t</w:t>
      </w:r>
      <w:r w:rsidR="00BB299B" w:rsidRPr="003021F9">
        <w:rPr>
          <w:lang w:val="en-US"/>
        </w:rPr>
        <w:t xml:space="preserve">he </w:t>
      </w:r>
      <w:r w:rsidR="00BB299B">
        <w:rPr>
          <w:lang w:val="en-US"/>
        </w:rPr>
        <w:t xml:space="preserve">overall </w:t>
      </w:r>
      <w:r w:rsidR="00BB299B" w:rsidRPr="003021F9">
        <w:rPr>
          <w:lang w:val="en-US"/>
        </w:rPr>
        <w:t xml:space="preserve">underutilization of the International Assistance </w:t>
      </w:r>
      <w:r w:rsidR="00BB299B">
        <w:rPr>
          <w:lang w:val="en-US"/>
        </w:rPr>
        <w:t>portfolio of the Inta</w:t>
      </w:r>
      <w:r w:rsidR="00EB0C1C">
        <w:rPr>
          <w:lang w:val="en-US"/>
        </w:rPr>
        <w:t>ngible Cultural Heritage Fund remains</w:t>
      </w:r>
      <w:r w:rsidR="00BB299B">
        <w:rPr>
          <w:lang w:val="en-US"/>
        </w:rPr>
        <w:t xml:space="preserve"> a persistent challenge.</w:t>
      </w:r>
      <w:r w:rsidR="00407DF4">
        <w:rPr>
          <w:lang w:val="en-US"/>
        </w:rPr>
        <w:t xml:space="preserve"> F</w:t>
      </w:r>
      <w:r w:rsidR="00BB299B" w:rsidRPr="003021F9">
        <w:rPr>
          <w:lang w:val="en-US"/>
        </w:rPr>
        <w:t xml:space="preserve">ollowing the </w:t>
      </w:r>
      <w:r w:rsidR="00407DF4">
        <w:rPr>
          <w:lang w:val="en-US"/>
        </w:rPr>
        <w:t xml:space="preserve">approval by the </w:t>
      </w:r>
      <w:r w:rsidR="00BB299B" w:rsidRPr="003021F9">
        <w:rPr>
          <w:lang w:val="en-US"/>
        </w:rPr>
        <w:t xml:space="preserve">General Assembly </w:t>
      </w:r>
      <w:r w:rsidR="0086679D">
        <w:rPr>
          <w:lang w:val="en-US"/>
        </w:rPr>
        <w:t>of the creation of</w:t>
      </w:r>
      <w:r w:rsidR="00BB299B" w:rsidRPr="003021F9">
        <w:rPr>
          <w:lang w:val="en-US"/>
        </w:rPr>
        <w:t xml:space="preserve"> </w:t>
      </w:r>
      <w:r w:rsidR="00BB299B" w:rsidRPr="001C789E">
        <w:rPr>
          <w:b/>
          <w:lang w:val="en-US"/>
        </w:rPr>
        <w:t xml:space="preserve">three </w:t>
      </w:r>
      <w:proofErr w:type="spellStart"/>
      <w:r w:rsidR="00BB299B" w:rsidRPr="001C789E">
        <w:rPr>
          <w:b/>
          <w:lang w:val="en-US"/>
        </w:rPr>
        <w:t>extrabudgetary</w:t>
      </w:r>
      <w:proofErr w:type="spellEnd"/>
      <w:r w:rsidR="00BB299B" w:rsidRPr="001C789E">
        <w:rPr>
          <w:b/>
          <w:lang w:val="en-US"/>
        </w:rPr>
        <w:t xml:space="preserve"> fixed-term posts</w:t>
      </w:r>
      <w:r w:rsidR="00BB299B" w:rsidRPr="003021F9">
        <w:rPr>
          <w:lang w:val="en-US"/>
        </w:rPr>
        <w:t xml:space="preserve"> financed by the </w:t>
      </w:r>
      <w:r w:rsidR="00407DF4">
        <w:rPr>
          <w:lang w:val="en-US"/>
        </w:rPr>
        <w:t>F</w:t>
      </w:r>
      <w:r w:rsidR="00BB299B" w:rsidRPr="003021F9">
        <w:rPr>
          <w:lang w:val="en-US"/>
        </w:rPr>
        <w:t xml:space="preserve">und of the Convention, the Secretariat has </w:t>
      </w:r>
      <w:r w:rsidR="008D59B4">
        <w:rPr>
          <w:lang w:val="en-US"/>
        </w:rPr>
        <w:t xml:space="preserve">advanced </w:t>
      </w:r>
      <w:r w:rsidR="00BB299B" w:rsidRPr="003021F9">
        <w:rPr>
          <w:lang w:val="en-US"/>
        </w:rPr>
        <w:t>the</w:t>
      </w:r>
      <w:r w:rsidR="008D59B4">
        <w:rPr>
          <w:lang w:val="en-US"/>
        </w:rPr>
        <w:t>ir</w:t>
      </w:r>
      <w:r w:rsidR="00BB299B" w:rsidRPr="003021F9">
        <w:rPr>
          <w:lang w:val="en-US"/>
        </w:rPr>
        <w:t xml:space="preserve"> recruitment </w:t>
      </w:r>
      <w:r w:rsidR="00407DF4">
        <w:rPr>
          <w:lang w:val="en-US"/>
        </w:rPr>
        <w:t>to form a d</w:t>
      </w:r>
      <w:r w:rsidR="00BB299B" w:rsidRPr="003021F9">
        <w:rPr>
          <w:lang w:val="en-US"/>
        </w:rPr>
        <w:t xml:space="preserve">edicated team </w:t>
      </w:r>
      <w:proofErr w:type="gramStart"/>
      <w:r w:rsidR="00407DF4">
        <w:rPr>
          <w:lang w:val="en-US"/>
        </w:rPr>
        <w:t xml:space="preserve">to </w:t>
      </w:r>
      <w:r w:rsidR="00BB299B" w:rsidRPr="003021F9">
        <w:rPr>
          <w:lang w:val="en-US"/>
        </w:rPr>
        <w:t xml:space="preserve">further </w:t>
      </w:r>
      <w:r w:rsidR="0086679D" w:rsidRPr="003021F9">
        <w:rPr>
          <w:lang w:val="en-US"/>
        </w:rPr>
        <w:t>operationaliz</w:t>
      </w:r>
      <w:r w:rsidR="0086679D">
        <w:rPr>
          <w:lang w:val="en-US"/>
        </w:rPr>
        <w:t>e</w:t>
      </w:r>
      <w:proofErr w:type="gramEnd"/>
      <w:r w:rsidR="0086679D" w:rsidRPr="003021F9">
        <w:rPr>
          <w:lang w:val="en-US"/>
        </w:rPr>
        <w:t xml:space="preserve"> </w:t>
      </w:r>
      <w:r w:rsidR="00BB299B" w:rsidRPr="003021F9">
        <w:rPr>
          <w:lang w:val="en-US"/>
        </w:rPr>
        <w:t>the mechanism</w:t>
      </w:r>
      <w:r w:rsidR="00407DF4">
        <w:rPr>
          <w:lang w:val="en-US"/>
        </w:rPr>
        <w:t>, particularly the monitoring and evaluation of International Assistance projects</w:t>
      </w:r>
      <w:r w:rsidR="00B12EB4">
        <w:rPr>
          <w:lang w:val="en-US"/>
        </w:rPr>
        <w:t xml:space="preserve">. </w:t>
      </w:r>
      <w:r w:rsidR="00BB299B">
        <w:t>In the meantime, a</w:t>
      </w:r>
      <w:r w:rsidR="0044784B">
        <w:t>ll t</w:t>
      </w:r>
      <w:r w:rsidR="003F3696">
        <w:t xml:space="preserve">he </w:t>
      </w:r>
      <w:r w:rsidR="007C0BEB">
        <w:t xml:space="preserve">requests submitted </w:t>
      </w:r>
      <w:proofErr w:type="gramStart"/>
      <w:r w:rsidR="003F3696">
        <w:t>we</w:t>
      </w:r>
      <w:r w:rsidR="007C0BEB">
        <w:t>re administrated</w:t>
      </w:r>
      <w:proofErr w:type="gramEnd"/>
      <w:r w:rsidR="003F3696">
        <w:t xml:space="preserve"> </w:t>
      </w:r>
      <w:r w:rsidR="00B12EB4">
        <w:t>promptly</w:t>
      </w:r>
      <w:r w:rsidR="003F3696">
        <w:t xml:space="preserve"> </w:t>
      </w:r>
      <w:r w:rsidR="00B12EB4">
        <w:t>and</w:t>
      </w:r>
      <w:r w:rsidR="003F3696">
        <w:t xml:space="preserve"> </w:t>
      </w:r>
      <w:r w:rsidR="0044784B">
        <w:t>seventeen</w:t>
      </w:r>
      <w:r w:rsidR="003F3696">
        <w:t xml:space="preserve"> International Assistance requests were presented to the Bureau</w:t>
      </w:r>
      <w:r w:rsidR="0086679D">
        <w:t>,</w:t>
      </w:r>
      <w:r w:rsidR="00055B4E">
        <w:t xml:space="preserve"> </w:t>
      </w:r>
      <w:r w:rsidR="00F62C75">
        <w:t xml:space="preserve">eleven </w:t>
      </w:r>
      <w:r w:rsidR="00055B4E">
        <w:t xml:space="preserve">of </w:t>
      </w:r>
      <w:r w:rsidR="0086679D">
        <w:t xml:space="preserve">which </w:t>
      </w:r>
      <w:r w:rsidR="00055B4E">
        <w:t xml:space="preserve">were </w:t>
      </w:r>
      <w:r w:rsidR="003F3696">
        <w:t xml:space="preserve">approved (see Indicator 4 in </w:t>
      </w:r>
      <w:r w:rsidR="0086679D">
        <w:t xml:space="preserve">the </w:t>
      </w:r>
      <w:r w:rsidR="003F3696">
        <w:t>Annex for their details)</w:t>
      </w:r>
      <w:r w:rsidR="00055B4E">
        <w:t>.</w:t>
      </w:r>
      <w:r w:rsidR="00B12EB4">
        <w:t xml:space="preserve"> </w:t>
      </w:r>
      <w:r w:rsidR="00035489">
        <w:t>Furth</w:t>
      </w:r>
      <w:bookmarkStart w:id="0" w:name="_GoBack"/>
      <w:bookmarkEnd w:id="0"/>
      <w:r w:rsidR="00035489">
        <w:t xml:space="preserve">ermore, the Secretariat has initiated </w:t>
      </w:r>
      <w:r w:rsidR="0086679D">
        <w:t xml:space="preserve">a </w:t>
      </w:r>
      <w:r w:rsidR="00035489">
        <w:t xml:space="preserve">reflection </w:t>
      </w:r>
      <w:r w:rsidR="003021F9">
        <w:t xml:space="preserve">on the multiple submissions of International Assistance </w:t>
      </w:r>
      <w:r w:rsidR="008D59B4">
        <w:t xml:space="preserve">requests </w:t>
      </w:r>
      <w:r w:rsidR="003021F9">
        <w:t xml:space="preserve">by a single State; this issue </w:t>
      </w:r>
      <w:proofErr w:type="gramStart"/>
      <w:r w:rsidR="003021F9">
        <w:t xml:space="preserve">is </w:t>
      </w:r>
      <w:r w:rsidR="004D748D">
        <w:t>brought</w:t>
      </w:r>
      <w:proofErr w:type="gramEnd"/>
      <w:r w:rsidR="004D748D">
        <w:t xml:space="preserve"> to the attention of</w:t>
      </w:r>
      <w:r w:rsidR="003021F9">
        <w:t xml:space="preserve"> the present session of the Committee (</w:t>
      </w:r>
      <w:r w:rsidR="003021F9" w:rsidRPr="002B6112">
        <w:rPr>
          <w:lang w:val="en-US"/>
        </w:rPr>
        <w:t xml:space="preserve">document </w:t>
      </w:r>
      <w:hyperlink r:id="rId14" w:history="1">
        <w:r w:rsidR="003021F9" w:rsidRPr="002B6112">
          <w:rPr>
            <w:rStyle w:val="Hyperlink"/>
            <w:lang w:val="en-US"/>
          </w:rPr>
          <w:t>ITH/18/13.COM/12</w:t>
        </w:r>
      </w:hyperlink>
      <w:r w:rsidR="003021F9">
        <w:t>).</w:t>
      </w:r>
    </w:p>
    <w:p w14:paraId="1A239F83" w14:textId="77777777" w:rsidR="0020526D" w:rsidRPr="00284330" w:rsidRDefault="0020526D" w:rsidP="0020526D">
      <w:pPr>
        <w:pStyle w:val="COMPara"/>
        <w:keepNext/>
        <w:numPr>
          <w:ilvl w:val="0"/>
          <w:numId w:val="0"/>
        </w:numPr>
        <w:spacing w:before="240"/>
        <w:jc w:val="both"/>
        <w:rPr>
          <w:b/>
          <w:lang w:val="en-US"/>
        </w:rPr>
      </w:pPr>
      <w:r w:rsidRPr="00284330">
        <w:rPr>
          <w:b/>
          <w:lang w:val="en-US"/>
        </w:rPr>
        <w:t>Knowledge management</w:t>
      </w:r>
    </w:p>
    <w:p w14:paraId="3D3E5737" w14:textId="52F7EB8F" w:rsidR="007B1F09" w:rsidRPr="00F0515A" w:rsidRDefault="007B1F09" w:rsidP="00E35776">
      <w:pPr>
        <w:pStyle w:val="COMPara"/>
        <w:ind w:left="567" w:hanging="567"/>
        <w:jc w:val="both"/>
      </w:pPr>
      <w:r>
        <w:t>T</w:t>
      </w:r>
      <w:r w:rsidR="00C55E16" w:rsidRPr="00F0515A">
        <w:t xml:space="preserve">he Secretariat </w:t>
      </w:r>
      <w:r w:rsidR="0067037D">
        <w:t>has strived to further optimize workflows and</w:t>
      </w:r>
      <w:r w:rsidR="0086679D">
        <w:t xml:space="preserve"> the</w:t>
      </w:r>
      <w:r w:rsidR="0067037D">
        <w:t xml:space="preserve"> accessibly of data as part of </w:t>
      </w:r>
      <w:r w:rsidR="0086679D">
        <w:t xml:space="preserve">the </w:t>
      </w:r>
      <w:r w:rsidR="0067037D">
        <w:t>knowledge management of the Convention. This includes new</w:t>
      </w:r>
      <w:r>
        <w:t xml:space="preserve"> </w:t>
      </w:r>
      <w:r w:rsidR="00C55E16" w:rsidRPr="00F0515A">
        <w:t xml:space="preserve">online interfaces for </w:t>
      </w:r>
      <w:r>
        <w:t xml:space="preserve">accredited </w:t>
      </w:r>
      <w:r w:rsidR="003F136C">
        <w:t>non-governmental organizations (</w:t>
      </w:r>
      <w:r w:rsidR="00C55E16" w:rsidRPr="00F0515A">
        <w:t>NGOs</w:t>
      </w:r>
      <w:r w:rsidR="003F136C">
        <w:t>)</w:t>
      </w:r>
      <w:r w:rsidR="00C55E16" w:rsidRPr="00F0515A">
        <w:t xml:space="preserve"> to submit </w:t>
      </w:r>
      <w:r w:rsidR="00CA14F8">
        <w:t xml:space="preserve">their quadrennial </w:t>
      </w:r>
      <w:r w:rsidR="00C55E16" w:rsidRPr="00F0515A">
        <w:t>report</w:t>
      </w:r>
      <w:r w:rsidR="001F0C27">
        <w:t>s</w:t>
      </w:r>
      <w:r>
        <w:t>. A</w:t>
      </w:r>
      <w:r w:rsidR="00C55E16" w:rsidRPr="00F0515A">
        <w:t xml:space="preserve">ll inscribed elements, International Assistance projects and accredited NGOs </w:t>
      </w:r>
      <w:proofErr w:type="gramStart"/>
      <w:r w:rsidR="00C55E16" w:rsidRPr="00F0515A">
        <w:t>were indexed</w:t>
      </w:r>
      <w:proofErr w:type="gramEnd"/>
      <w:r w:rsidR="00C55E16" w:rsidRPr="00F0515A">
        <w:t xml:space="preserve"> against concepts </w:t>
      </w:r>
      <w:r w:rsidR="00290C1A">
        <w:t>included in</w:t>
      </w:r>
      <w:r w:rsidR="00C55E16" w:rsidRPr="00F0515A">
        <w:t xml:space="preserve"> the UNESCO Thesaurus,</w:t>
      </w:r>
      <w:r w:rsidR="000C2730">
        <w:t xml:space="preserve"> </w:t>
      </w:r>
      <w:r w:rsidR="001F0C27">
        <w:t>making it possible to</w:t>
      </w:r>
      <w:r w:rsidR="002F610A">
        <w:t xml:space="preserve"> search </w:t>
      </w:r>
      <w:r w:rsidR="001F0C27">
        <w:t>for</w:t>
      </w:r>
      <w:r w:rsidR="000C2730">
        <w:t xml:space="preserve"> </w:t>
      </w:r>
      <w:r w:rsidR="002F610A">
        <w:t>information by content-relat</w:t>
      </w:r>
      <w:r>
        <w:t>ed criteria.</w:t>
      </w:r>
      <w:r w:rsidR="002F610A">
        <w:t xml:space="preserve"> </w:t>
      </w:r>
      <w:r w:rsidR="004862BF">
        <w:t>The</w:t>
      </w:r>
      <w:r w:rsidR="001F0C27">
        <w:t xml:space="preserve"> reporting period </w:t>
      </w:r>
      <w:proofErr w:type="gramStart"/>
      <w:r w:rsidR="001F0C27">
        <w:t>was also marked</w:t>
      </w:r>
      <w:proofErr w:type="gramEnd"/>
      <w:r w:rsidR="001F0C27">
        <w:t xml:space="preserve"> by the</w:t>
      </w:r>
      <w:r w:rsidR="004862BF">
        <w:t xml:space="preserve"> launch of the Arabic version of the website of the Convention </w:t>
      </w:r>
      <w:r w:rsidR="001F0C27">
        <w:t>in May 2018</w:t>
      </w:r>
      <w:r w:rsidR="004862BF">
        <w:t xml:space="preserve">. </w:t>
      </w:r>
      <w:r w:rsidR="0067037D">
        <w:rPr>
          <w:lang w:val="en-US"/>
        </w:rPr>
        <w:t>Furthermore, t</w:t>
      </w:r>
      <w:r w:rsidR="00BA2176" w:rsidRPr="00504796">
        <w:t>he Secretariat launched a project, ‘</w:t>
      </w:r>
      <w:r w:rsidR="00BA2176" w:rsidRPr="008D59B4">
        <w:rPr>
          <w:b/>
        </w:rPr>
        <w:t>Dive into In</w:t>
      </w:r>
      <w:r w:rsidRPr="008D59B4">
        <w:rPr>
          <w:b/>
        </w:rPr>
        <w:t>tangible Cultural Heritage</w:t>
      </w:r>
      <w:r>
        <w:t xml:space="preserve">’, as an alternative and </w:t>
      </w:r>
      <w:r w:rsidR="00B96A76">
        <w:t xml:space="preserve">more meaningful </w:t>
      </w:r>
      <w:r>
        <w:t xml:space="preserve">way </w:t>
      </w:r>
      <w:r w:rsidR="00BA2176" w:rsidRPr="00504796">
        <w:t xml:space="preserve">of </w:t>
      </w:r>
      <w:r w:rsidR="001F0C27">
        <w:t>visualizing</w:t>
      </w:r>
      <w:r w:rsidR="001F0C27" w:rsidRPr="00504796">
        <w:t xml:space="preserve"> </w:t>
      </w:r>
      <w:r w:rsidR="00BA2176" w:rsidRPr="00504796">
        <w:t xml:space="preserve">elements of living heritage inscribed on the Lists </w:t>
      </w:r>
      <w:r>
        <w:t xml:space="preserve">and Register </w:t>
      </w:r>
      <w:r w:rsidR="00BA2176" w:rsidRPr="00504796">
        <w:t>of the Convention</w:t>
      </w:r>
      <w:r>
        <w:t>,</w:t>
      </w:r>
      <w:r w:rsidR="00D650A3">
        <w:t xml:space="preserve"> </w:t>
      </w:r>
      <w:r w:rsidR="00B96A76">
        <w:t>demonstrating</w:t>
      </w:r>
      <w:r>
        <w:t xml:space="preserve"> </w:t>
      </w:r>
      <w:r w:rsidR="001F0C27">
        <w:t xml:space="preserve">the </w:t>
      </w:r>
      <w:r>
        <w:t>inter-relatedness</w:t>
      </w:r>
      <w:r w:rsidR="001F0C27">
        <w:t xml:space="preserve"> of</w:t>
      </w:r>
      <w:r w:rsidR="0067037D">
        <w:t xml:space="preserve"> cultural practices enacted by communities in all corners of the world</w:t>
      </w:r>
      <w:r w:rsidR="00D650A3">
        <w:t>. This</w:t>
      </w:r>
      <w:r w:rsidR="00BA2176" w:rsidRPr="00504796">
        <w:t xml:space="preserve"> project</w:t>
      </w:r>
      <w:r>
        <w:t>,</w:t>
      </w:r>
      <w:r w:rsidR="00BA2176">
        <w:t xml:space="preserve"> supported by the </w:t>
      </w:r>
      <w:r w:rsidR="00534718">
        <w:t xml:space="preserve">Government of </w:t>
      </w:r>
      <w:r w:rsidR="00BA2176">
        <w:t>Netherlands,</w:t>
      </w:r>
      <w:r w:rsidR="0067037D">
        <w:t xml:space="preserve"> </w:t>
      </w:r>
      <w:proofErr w:type="gramStart"/>
      <w:r w:rsidR="0067037D">
        <w:t>will be showcased</w:t>
      </w:r>
      <w:proofErr w:type="gramEnd"/>
      <w:r w:rsidR="0067037D">
        <w:t xml:space="preserve"> </w:t>
      </w:r>
      <w:r w:rsidR="00D650A3">
        <w:t xml:space="preserve">as a side event </w:t>
      </w:r>
      <w:r w:rsidR="0067037D">
        <w:t xml:space="preserve">during the present session of the Committee. </w:t>
      </w:r>
      <w:r w:rsidR="00533ED0">
        <w:t xml:space="preserve">The Secretariat also </w:t>
      </w:r>
      <w:r w:rsidR="00533ED0" w:rsidRPr="00FE1A1F">
        <w:rPr>
          <w:rStyle w:val="hps"/>
          <w:lang w:val="en-US"/>
        </w:rPr>
        <w:t xml:space="preserve">launched a </w:t>
      </w:r>
      <w:r w:rsidR="00533ED0">
        <w:rPr>
          <w:rStyle w:val="hps"/>
          <w:lang w:val="en-US"/>
        </w:rPr>
        <w:t>broad</w:t>
      </w:r>
      <w:r w:rsidR="00533ED0" w:rsidRPr="00FE1A1F">
        <w:rPr>
          <w:rStyle w:val="hps"/>
          <w:lang w:val="en-US"/>
        </w:rPr>
        <w:t xml:space="preserve"> consultation</w:t>
      </w:r>
      <w:r w:rsidR="00533ED0">
        <w:rPr>
          <w:rStyle w:val="hps"/>
          <w:lang w:val="en-US"/>
        </w:rPr>
        <w:t>, through an online survey,</w:t>
      </w:r>
      <w:r w:rsidR="00533ED0" w:rsidRPr="00FE1A1F">
        <w:rPr>
          <w:rStyle w:val="hps"/>
          <w:lang w:val="en-US"/>
        </w:rPr>
        <w:t xml:space="preserve"> on </w:t>
      </w:r>
      <w:r w:rsidR="00533ED0" w:rsidRPr="00533ED0">
        <w:rPr>
          <w:rStyle w:val="hps"/>
          <w:b/>
          <w:lang w:val="en-US"/>
        </w:rPr>
        <w:t xml:space="preserve">alternative and lighter ways of sharing </w:t>
      </w:r>
      <w:r w:rsidR="00533ED0">
        <w:rPr>
          <w:rStyle w:val="hps"/>
          <w:b/>
          <w:lang w:val="en-US"/>
        </w:rPr>
        <w:t xml:space="preserve">safeguarding </w:t>
      </w:r>
      <w:r w:rsidR="00533ED0" w:rsidRPr="00533ED0">
        <w:rPr>
          <w:rStyle w:val="hps"/>
          <w:b/>
          <w:lang w:val="en-US"/>
        </w:rPr>
        <w:t>practices</w:t>
      </w:r>
      <w:r w:rsidR="00533ED0" w:rsidRPr="00FE1A1F">
        <w:rPr>
          <w:rStyle w:val="hps"/>
          <w:lang w:val="en-US"/>
        </w:rPr>
        <w:t xml:space="preserve"> to complement the Register of Good Safeguarding Practices</w:t>
      </w:r>
      <w:r w:rsidR="00533ED0">
        <w:rPr>
          <w:rStyle w:val="hps"/>
          <w:lang w:val="en-US"/>
        </w:rPr>
        <w:t xml:space="preserve"> in response </w:t>
      </w:r>
      <w:r w:rsidR="008361A4">
        <w:rPr>
          <w:rStyle w:val="hps"/>
          <w:lang w:val="en-US"/>
        </w:rPr>
        <w:t xml:space="preserve">to the request by the </w:t>
      </w:r>
      <w:r w:rsidR="008361A4" w:rsidRPr="002B6112">
        <w:rPr>
          <w:rStyle w:val="hps"/>
          <w:lang w:val="en-US"/>
        </w:rPr>
        <w:t>Committee</w:t>
      </w:r>
      <w:r w:rsidR="00916E45" w:rsidRPr="002B6112">
        <w:rPr>
          <w:rStyle w:val="hps"/>
          <w:lang w:val="en-US"/>
        </w:rPr>
        <w:t xml:space="preserve"> (Decisions </w:t>
      </w:r>
      <w:hyperlink r:id="rId15" w:history="1">
        <w:r w:rsidR="00916E45" w:rsidRPr="002B6112">
          <w:rPr>
            <w:rStyle w:val="Hyperlink"/>
            <w:lang w:val="en-US"/>
          </w:rPr>
          <w:t>8.COM 5.c.1</w:t>
        </w:r>
      </w:hyperlink>
      <w:r w:rsidR="00916E45" w:rsidRPr="002B6112">
        <w:rPr>
          <w:rStyle w:val="hps"/>
          <w:lang w:val="en-US"/>
        </w:rPr>
        <w:t xml:space="preserve"> and </w:t>
      </w:r>
      <w:hyperlink r:id="rId16" w:history="1">
        <w:r w:rsidR="00916E45" w:rsidRPr="002B6112">
          <w:rPr>
            <w:rStyle w:val="Hyperlink"/>
            <w:lang w:val="en-US"/>
          </w:rPr>
          <w:t>10.COM 10</w:t>
        </w:r>
      </w:hyperlink>
      <w:r w:rsidR="00916E45" w:rsidRPr="002B6112">
        <w:rPr>
          <w:rStyle w:val="hps"/>
          <w:lang w:val="en-US"/>
        </w:rPr>
        <w:t xml:space="preserve"> paragraph 10)</w:t>
      </w:r>
      <w:r w:rsidR="00533ED0" w:rsidRPr="002B6112">
        <w:rPr>
          <w:rStyle w:val="hps"/>
          <w:lang w:val="en-US"/>
        </w:rPr>
        <w:t xml:space="preserve">. </w:t>
      </w:r>
      <w:r w:rsidR="001F0C27" w:rsidRPr="002B6112">
        <w:rPr>
          <w:rStyle w:val="hps"/>
          <w:lang w:val="en-US"/>
        </w:rPr>
        <w:t xml:space="preserve">A preliminary </w:t>
      </w:r>
      <w:r w:rsidR="00533ED0" w:rsidRPr="002B6112">
        <w:rPr>
          <w:rStyle w:val="hps"/>
          <w:lang w:val="en-US"/>
        </w:rPr>
        <w:t xml:space="preserve">analysis </w:t>
      </w:r>
      <w:r w:rsidR="001F0C27" w:rsidRPr="002B6112">
        <w:rPr>
          <w:rStyle w:val="hps"/>
          <w:lang w:val="en-US"/>
        </w:rPr>
        <w:t xml:space="preserve">of </w:t>
      </w:r>
      <w:proofErr w:type="gramStart"/>
      <w:r w:rsidR="00533ED0" w:rsidRPr="002B6112">
        <w:rPr>
          <w:rStyle w:val="hps"/>
          <w:lang w:val="en-US"/>
        </w:rPr>
        <w:t>a total of 225</w:t>
      </w:r>
      <w:proofErr w:type="gramEnd"/>
      <w:r w:rsidR="00533ED0">
        <w:rPr>
          <w:rStyle w:val="hps"/>
          <w:lang w:val="en-US"/>
        </w:rPr>
        <w:t xml:space="preserve"> responses </w:t>
      </w:r>
      <w:r w:rsidR="00E35776">
        <w:rPr>
          <w:rStyle w:val="hps"/>
          <w:lang w:val="en-US"/>
        </w:rPr>
        <w:t xml:space="preserve">indicates </w:t>
      </w:r>
      <w:r w:rsidR="001F0C27">
        <w:rPr>
          <w:rStyle w:val="hps"/>
          <w:lang w:val="en-US"/>
        </w:rPr>
        <w:t xml:space="preserve">a </w:t>
      </w:r>
      <w:r w:rsidR="00E35776">
        <w:rPr>
          <w:rStyle w:val="hps"/>
          <w:lang w:val="en-US"/>
        </w:rPr>
        <w:t>high</w:t>
      </w:r>
      <w:r w:rsidR="001F0C27">
        <w:rPr>
          <w:rStyle w:val="hps"/>
          <w:lang w:val="en-US"/>
        </w:rPr>
        <w:t xml:space="preserve"> level of</w:t>
      </w:r>
      <w:r w:rsidR="00E35776">
        <w:rPr>
          <w:rStyle w:val="hps"/>
          <w:lang w:val="en-US"/>
        </w:rPr>
        <w:t xml:space="preserve"> interest by the respondent organizations </w:t>
      </w:r>
      <w:r w:rsidR="001F0C27">
        <w:rPr>
          <w:rStyle w:val="hps"/>
          <w:lang w:val="en-US"/>
        </w:rPr>
        <w:t>in sharing</w:t>
      </w:r>
      <w:r w:rsidR="00E35776">
        <w:rPr>
          <w:rStyle w:val="hps"/>
          <w:lang w:val="en-US"/>
        </w:rPr>
        <w:t xml:space="preserve"> their </w:t>
      </w:r>
      <w:r w:rsidR="00171B80">
        <w:rPr>
          <w:rStyle w:val="hps"/>
          <w:lang w:val="en-US"/>
        </w:rPr>
        <w:t>wide-ranging</w:t>
      </w:r>
      <w:r w:rsidR="00E35776">
        <w:rPr>
          <w:rStyle w:val="hps"/>
          <w:lang w:val="en-US"/>
        </w:rPr>
        <w:t xml:space="preserve"> experiences in </w:t>
      </w:r>
      <w:r w:rsidR="001F0C27">
        <w:rPr>
          <w:rStyle w:val="hps"/>
          <w:lang w:val="en-US"/>
        </w:rPr>
        <w:t xml:space="preserve">the </w:t>
      </w:r>
      <w:r w:rsidR="00E35776">
        <w:rPr>
          <w:rStyle w:val="hps"/>
          <w:lang w:val="en-US"/>
        </w:rPr>
        <w:t>search</w:t>
      </w:r>
      <w:r w:rsidR="001F0C27">
        <w:rPr>
          <w:rStyle w:val="hps"/>
          <w:lang w:val="en-US"/>
        </w:rPr>
        <w:t xml:space="preserve"> for</w:t>
      </w:r>
      <w:r w:rsidR="00E35776">
        <w:rPr>
          <w:rStyle w:val="hps"/>
          <w:lang w:val="en-US"/>
        </w:rPr>
        <w:t xml:space="preserve"> a lighter and more dynamic system.</w:t>
      </w:r>
      <w:r w:rsidR="00916E45">
        <w:rPr>
          <w:rStyle w:val="hps"/>
          <w:lang w:val="en-US"/>
        </w:rPr>
        <w:t xml:space="preserve"> All results </w:t>
      </w:r>
      <w:proofErr w:type="gramStart"/>
      <w:r w:rsidR="00916E45">
        <w:rPr>
          <w:rStyle w:val="hps"/>
          <w:lang w:val="en-US"/>
        </w:rPr>
        <w:t>will be reported</w:t>
      </w:r>
      <w:proofErr w:type="gramEnd"/>
      <w:r w:rsidR="00916E45">
        <w:rPr>
          <w:rStyle w:val="hps"/>
          <w:lang w:val="en-US"/>
        </w:rPr>
        <w:t xml:space="preserve"> to the next session of the Committee.</w:t>
      </w:r>
    </w:p>
    <w:p w14:paraId="38E631E5" w14:textId="77DB7C0F" w:rsidR="00F0515A" w:rsidRPr="00284330" w:rsidRDefault="00715616" w:rsidP="00F0515A">
      <w:pPr>
        <w:pStyle w:val="COMPara"/>
        <w:keepNext/>
        <w:numPr>
          <w:ilvl w:val="0"/>
          <w:numId w:val="0"/>
        </w:numPr>
        <w:spacing w:before="240"/>
        <w:jc w:val="both"/>
        <w:rPr>
          <w:b/>
          <w:lang w:val="en-US"/>
        </w:rPr>
      </w:pPr>
      <w:r>
        <w:rPr>
          <w:b/>
          <w:lang w:val="en-US"/>
        </w:rPr>
        <w:t>C</w:t>
      </w:r>
      <w:r w:rsidR="00846154" w:rsidRPr="00284330">
        <w:rPr>
          <w:b/>
          <w:lang w:val="en-US"/>
        </w:rPr>
        <w:t>ommunication</w:t>
      </w:r>
      <w:r w:rsidR="00462C2F" w:rsidRPr="00284330">
        <w:rPr>
          <w:b/>
          <w:lang w:val="en-US"/>
        </w:rPr>
        <w:t>s and outreach</w:t>
      </w:r>
    </w:p>
    <w:p w14:paraId="7D00B09F" w14:textId="37403BAB" w:rsidR="0020526D" w:rsidRPr="00CB2B0F" w:rsidRDefault="00F0515A" w:rsidP="00CB2B0F">
      <w:pPr>
        <w:pStyle w:val="COMPara"/>
        <w:ind w:left="567" w:hanging="567"/>
        <w:jc w:val="both"/>
      </w:pPr>
      <w:r w:rsidRPr="00504796">
        <w:t xml:space="preserve">Work is underway </w:t>
      </w:r>
      <w:r w:rsidR="00846154">
        <w:t xml:space="preserve">to </w:t>
      </w:r>
      <w:r w:rsidR="00896532">
        <w:t>adv</w:t>
      </w:r>
      <w:r w:rsidR="00896532" w:rsidRPr="002B6112">
        <w:t>ance in the area of</w:t>
      </w:r>
      <w:r w:rsidRPr="002B6112">
        <w:t xml:space="preserve"> </w:t>
      </w:r>
      <w:r w:rsidRPr="002B6112">
        <w:rPr>
          <w:b/>
        </w:rPr>
        <w:t>outreach and communication</w:t>
      </w:r>
      <w:r w:rsidRPr="00730797">
        <w:rPr>
          <w:bCs/>
        </w:rPr>
        <w:t xml:space="preserve"> </w:t>
      </w:r>
      <w:r w:rsidR="00846154" w:rsidRPr="002B6112">
        <w:t>(</w:t>
      </w:r>
      <w:r w:rsidR="004C2D34" w:rsidRPr="002B6112">
        <w:t xml:space="preserve">document </w:t>
      </w:r>
      <w:hyperlink r:id="rId17" w:history="1">
        <w:r w:rsidR="004C2D34" w:rsidRPr="002B6112">
          <w:rPr>
            <w:rStyle w:val="Hyperlink"/>
            <w:rFonts w:eastAsiaTheme="minorEastAsia"/>
            <w:iCs/>
            <w:lang w:eastAsia="ko-KR"/>
          </w:rPr>
          <w:t>ITH/18/13.COM/INF.5.1</w:t>
        </w:r>
      </w:hyperlink>
      <w:r w:rsidR="00846154" w:rsidRPr="002B6112">
        <w:rPr>
          <w:rFonts w:eastAsiaTheme="minorEastAsia"/>
          <w:iCs/>
          <w:lang w:eastAsia="ko-KR"/>
        </w:rPr>
        <w:t>)</w:t>
      </w:r>
      <w:r w:rsidR="00846154" w:rsidRPr="002B6112">
        <w:t>; the</w:t>
      </w:r>
      <w:r w:rsidR="00846154">
        <w:t xml:space="preserve"> production of six audio-visual clips</w:t>
      </w:r>
      <w:r w:rsidR="001F0C27">
        <w:t>,</w:t>
      </w:r>
      <w:r w:rsidR="00846154">
        <w:t xml:space="preserve"> distributed </w:t>
      </w:r>
      <w:r w:rsidR="001F0C27">
        <w:t xml:space="preserve">via </w:t>
      </w:r>
      <w:r w:rsidR="00846154">
        <w:t>social media</w:t>
      </w:r>
      <w:r w:rsidR="001F0C27">
        <w:t>,</w:t>
      </w:r>
      <w:r w:rsidR="00846154">
        <w:t xml:space="preserve"> on the importance of safeguarding intangible cultural heritage is an example</w:t>
      </w:r>
      <w:r w:rsidR="00130C89">
        <w:t>.</w:t>
      </w:r>
      <w:r w:rsidRPr="00504796">
        <w:t xml:space="preserve"> </w:t>
      </w:r>
      <w:r w:rsidR="00846154">
        <w:t>In parallel, t</w:t>
      </w:r>
      <w:r w:rsidRPr="00504796">
        <w:t>he Secretariat organized a set of communicati</w:t>
      </w:r>
      <w:r w:rsidR="00846154">
        <w:t>on events</w:t>
      </w:r>
      <w:r w:rsidRPr="00504796">
        <w:t xml:space="preserve"> </w:t>
      </w:r>
      <w:r w:rsidR="00846154">
        <w:t>during</w:t>
      </w:r>
      <w:r w:rsidRPr="00504796">
        <w:t xml:space="preserve"> the </w:t>
      </w:r>
      <w:r w:rsidR="00484C4A">
        <w:t>seventh</w:t>
      </w:r>
      <w:r w:rsidRPr="00504796">
        <w:t xml:space="preserve"> session of the G</w:t>
      </w:r>
      <w:r w:rsidR="00484C4A">
        <w:t xml:space="preserve">eneral </w:t>
      </w:r>
      <w:r w:rsidRPr="00504796">
        <w:t>A</w:t>
      </w:r>
      <w:r w:rsidR="00484C4A">
        <w:t>ssembly</w:t>
      </w:r>
      <w:r w:rsidRPr="00504796">
        <w:t xml:space="preserve">. Furthermore, a </w:t>
      </w:r>
      <w:r w:rsidR="00B440B8">
        <w:t xml:space="preserve">multi-step </w:t>
      </w:r>
      <w:r w:rsidRPr="00504796">
        <w:t xml:space="preserve">consultation process </w:t>
      </w:r>
      <w:proofErr w:type="gramStart"/>
      <w:r w:rsidR="00517E52">
        <w:t>was launched</w:t>
      </w:r>
      <w:proofErr w:type="gramEnd"/>
      <w:r w:rsidR="00517E52">
        <w:t xml:space="preserve"> </w:t>
      </w:r>
      <w:r w:rsidRPr="00504796">
        <w:t>to identify</w:t>
      </w:r>
      <w:r w:rsidR="00B440B8">
        <w:t xml:space="preserve"> and define</w:t>
      </w:r>
      <w:r w:rsidRPr="00504796">
        <w:t xml:space="preserve"> the </w:t>
      </w:r>
      <w:r w:rsidRPr="001A2EF7">
        <w:rPr>
          <w:b/>
          <w:i/>
        </w:rPr>
        <w:t>inter alia</w:t>
      </w:r>
      <w:r w:rsidRPr="001A2EF7">
        <w:rPr>
          <w:b/>
        </w:rPr>
        <w:t xml:space="preserve"> advisory functions</w:t>
      </w:r>
      <w:r w:rsidRPr="00730797">
        <w:rPr>
          <w:bCs/>
        </w:rPr>
        <w:t xml:space="preserve"> </w:t>
      </w:r>
      <w:r w:rsidRPr="00171B80">
        <w:t>that accredited NGOs could provide</w:t>
      </w:r>
      <w:r w:rsidRPr="00504796">
        <w:t xml:space="preserve"> to the governing bodies of the Convention. This process </w:t>
      </w:r>
      <w:proofErr w:type="gramStart"/>
      <w:r w:rsidR="00B440B8">
        <w:t>was initiated</w:t>
      </w:r>
      <w:proofErr w:type="gramEnd"/>
      <w:r w:rsidR="00B440B8">
        <w:t xml:space="preserve"> in April 2018 in cooperation with the ICH NGO Forum and </w:t>
      </w:r>
      <w:r w:rsidRPr="00504796">
        <w:t xml:space="preserve">the Committee’s informal </w:t>
      </w:r>
      <w:r w:rsidR="00846154">
        <w:t xml:space="preserve">open-ended </w:t>
      </w:r>
      <w:r w:rsidRPr="00504796">
        <w:t>ad hoc working group</w:t>
      </w:r>
      <w:r w:rsidR="00B440B8">
        <w:t xml:space="preserve"> with the preparation of</w:t>
      </w:r>
      <w:r w:rsidRPr="00504796">
        <w:t xml:space="preserve"> an online survey</w:t>
      </w:r>
      <w:r w:rsidR="00B440B8">
        <w:t xml:space="preserve"> for all accredited NGOs and States Parties from September to October 2018</w:t>
      </w:r>
      <w:r w:rsidR="00017722">
        <w:t xml:space="preserve"> </w:t>
      </w:r>
      <w:r w:rsidR="00846154">
        <w:t>(</w:t>
      </w:r>
      <w:r w:rsidR="00846154" w:rsidRPr="002B6112">
        <w:t>document</w:t>
      </w:r>
      <w:r w:rsidR="00017722" w:rsidRPr="002B6112">
        <w:rPr>
          <w:lang w:val="en-US"/>
        </w:rPr>
        <w:t xml:space="preserve"> </w:t>
      </w:r>
      <w:hyperlink r:id="rId18" w:history="1">
        <w:r w:rsidR="00017722" w:rsidRPr="002B6112">
          <w:rPr>
            <w:rStyle w:val="Hyperlink"/>
            <w:lang w:val="en-US"/>
          </w:rPr>
          <w:t>ITH/18/13.COM/13</w:t>
        </w:r>
      </w:hyperlink>
      <w:r w:rsidR="00846154" w:rsidRPr="002B6112">
        <w:rPr>
          <w:lang w:val="en-US"/>
        </w:rPr>
        <w:t>)</w:t>
      </w:r>
      <w:r w:rsidR="00017722" w:rsidRPr="002B6112">
        <w:rPr>
          <w:lang w:val="en-US"/>
        </w:rPr>
        <w:t>.</w:t>
      </w:r>
      <w:r w:rsidR="00CB2B0F">
        <w:rPr>
          <w:lang w:val="en-US"/>
        </w:rPr>
        <w:t xml:space="preserve"> </w:t>
      </w:r>
      <w:r w:rsidR="00EB7914">
        <w:rPr>
          <w:lang w:val="en-US"/>
        </w:rPr>
        <w:t>Furthermore, c</w:t>
      </w:r>
      <w:r w:rsidR="00CB2B0F">
        <w:rPr>
          <w:lang w:val="en-US"/>
        </w:rPr>
        <w:t xml:space="preserve">ooperation with </w:t>
      </w:r>
      <w:r w:rsidR="00CB2B0F" w:rsidRPr="00CB2B0F">
        <w:rPr>
          <w:b/>
          <w:lang w:val="en-US"/>
        </w:rPr>
        <w:t xml:space="preserve">category 2 </w:t>
      </w:r>
      <w:proofErr w:type="spellStart"/>
      <w:r w:rsidR="00CB2B0F" w:rsidRPr="00CB2B0F">
        <w:rPr>
          <w:b/>
          <w:lang w:val="en-US"/>
        </w:rPr>
        <w:t>centres</w:t>
      </w:r>
      <w:proofErr w:type="spellEnd"/>
      <w:r w:rsidR="00CB2B0F">
        <w:rPr>
          <w:lang w:val="en-US"/>
        </w:rPr>
        <w:t xml:space="preserve"> in the field of intangible cultural heritage continued, most notably through the organization of the training workshops for facilitators mentioned below. The sixth annual coordination meeting for these </w:t>
      </w:r>
      <w:proofErr w:type="spellStart"/>
      <w:r w:rsidR="00CB2B0F">
        <w:rPr>
          <w:lang w:val="en-US"/>
        </w:rPr>
        <w:t>centres</w:t>
      </w:r>
      <w:proofErr w:type="spellEnd"/>
      <w:r w:rsidR="00CB2B0F">
        <w:rPr>
          <w:lang w:val="en-US"/>
        </w:rPr>
        <w:t xml:space="preserve"> took place on 7 June 2018 to discuss areas of common interest.</w:t>
      </w:r>
      <w:r w:rsidR="0020526D" w:rsidRPr="00CB2B0F">
        <w:t xml:space="preserve"> </w:t>
      </w:r>
      <w:r w:rsidR="00CB2B0F">
        <w:t>T</w:t>
      </w:r>
      <w:r w:rsidR="0020526D" w:rsidRPr="00CB2B0F">
        <w:t xml:space="preserve">he Secretariat also continued working on the evaluation and renewal process of </w:t>
      </w:r>
      <w:r w:rsidR="0039274A" w:rsidRPr="00CB2B0F">
        <w:t>four</w:t>
      </w:r>
      <w:r w:rsidR="00CB2B0F" w:rsidRPr="00CB2B0F">
        <w:t xml:space="preserve"> of the</w:t>
      </w:r>
      <w:r w:rsidR="0039274A" w:rsidRPr="00CB2B0F">
        <w:t xml:space="preserve"> </w:t>
      </w:r>
      <w:r w:rsidR="0020526D" w:rsidRPr="00CB2B0F">
        <w:t>centres</w:t>
      </w:r>
      <w:r w:rsidR="00CB2B0F">
        <w:t>.</w:t>
      </w:r>
    </w:p>
    <w:p w14:paraId="1EAC74D4" w14:textId="1F3FF431" w:rsidR="0020526D" w:rsidRPr="00284330" w:rsidRDefault="00CB513B" w:rsidP="0020526D">
      <w:pPr>
        <w:pStyle w:val="COMPara"/>
        <w:keepNext/>
        <w:numPr>
          <w:ilvl w:val="0"/>
          <w:numId w:val="0"/>
        </w:numPr>
        <w:spacing w:before="240"/>
        <w:jc w:val="both"/>
        <w:rPr>
          <w:b/>
          <w:lang w:val="en-US"/>
        </w:rPr>
      </w:pPr>
      <w:r>
        <w:rPr>
          <w:b/>
          <w:lang w:val="en-US"/>
        </w:rPr>
        <w:lastRenderedPageBreak/>
        <w:t>C</w:t>
      </w:r>
      <w:r w:rsidR="0020526D" w:rsidRPr="00284330">
        <w:rPr>
          <w:b/>
          <w:lang w:val="en-US"/>
        </w:rPr>
        <w:t>apacity building</w:t>
      </w:r>
    </w:p>
    <w:p w14:paraId="73C7151A" w14:textId="166BB997" w:rsidR="00E63750" w:rsidRDefault="00030915" w:rsidP="001E5FD4">
      <w:pPr>
        <w:pStyle w:val="COMPara"/>
        <w:ind w:left="567" w:hanging="567"/>
        <w:jc w:val="both"/>
        <w:rPr>
          <w:rFonts w:eastAsiaTheme="minorHAnsi"/>
        </w:rPr>
      </w:pPr>
      <w:r>
        <w:t xml:space="preserve">Capacity building for the implementation of the Convention at the national level remained a high priority for Member </w:t>
      </w:r>
      <w:r w:rsidRPr="00DD0F52">
        <w:rPr>
          <w:lang w:val="en-US"/>
        </w:rPr>
        <w:t>States</w:t>
      </w:r>
      <w:r>
        <w:t>.</w:t>
      </w:r>
      <w:r w:rsidR="00DC2CEB">
        <w:t xml:space="preserve"> </w:t>
      </w:r>
      <w:proofErr w:type="gramStart"/>
      <w:r w:rsidR="00B767BD" w:rsidRPr="004326C9">
        <w:t xml:space="preserve">With the support of the </w:t>
      </w:r>
      <w:r w:rsidR="00B767BD" w:rsidRPr="00F03A1F">
        <w:rPr>
          <w:rFonts w:eastAsiaTheme="minorHAnsi"/>
          <w:b/>
        </w:rPr>
        <w:t>global UNESCO capacity-building programme</w:t>
      </w:r>
      <w:r w:rsidR="00B767BD" w:rsidRPr="00DD0F52">
        <w:rPr>
          <w:rFonts w:eastAsiaTheme="minorHAnsi"/>
        </w:rPr>
        <w:t xml:space="preserve"> for safeguarding intangible cultural heritage</w:t>
      </w:r>
      <w:r w:rsidR="00DC2CEB" w:rsidRPr="00DD0F52">
        <w:rPr>
          <w:rFonts w:eastAsiaTheme="minorHAnsi"/>
        </w:rPr>
        <w:t>,</w:t>
      </w:r>
      <w:r w:rsidR="00B767BD" w:rsidRPr="00DD0F52">
        <w:rPr>
          <w:rFonts w:eastAsiaTheme="minorHAnsi"/>
        </w:rPr>
        <w:t xml:space="preserve"> </w:t>
      </w:r>
      <w:r w:rsidR="001F0C27" w:rsidRPr="002B6112">
        <w:rPr>
          <w:rFonts w:eastAsiaTheme="minorHAnsi"/>
        </w:rPr>
        <w:t>forty</w:t>
      </w:r>
      <w:r w:rsidR="001F0C27" w:rsidRPr="00DD0F52">
        <w:rPr>
          <w:rFonts w:eastAsiaTheme="minorHAnsi"/>
        </w:rPr>
        <w:t xml:space="preserve"> </w:t>
      </w:r>
      <w:r w:rsidR="0020526D" w:rsidRPr="00DD0F52">
        <w:rPr>
          <w:rFonts w:eastAsiaTheme="minorHAnsi"/>
        </w:rPr>
        <w:t>countries bene</w:t>
      </w:r>
      <w:r w:rsidR="00FC3EDB">
        <w:rPr>
          <w:rFonts w:eastAsiaTheme="minorHAnsi"/>
        </w:rPr>
        <w:t xml:space="preserve">fitted from multi-year projects </w:t>
      </w:r>
      <w:r w:rsidR="00DD406E" w:rsidRPr="00DD0F52">
        <w:rPr>
          <w:rFonts w:eastAsia="Malgun Gothic"/>
          <w:lang w:eastAsia="ko-KR"/>
        </w:rPr>
        <w:t xml:space="preserve">(see </w:t>
      </w:r>
      <w:r w:rsidR="0020526D" w:rsidRPr="00DD0F52">
        <w:rPr>
          <w:rFonts w:eastAsia="Malgun Gothic" w:hint="eastAsia"/>
          <w:lang w:eastAsia="ko-KR"/>
        </w:rPr>
        <w:t xml:space="preserve">the </w:t>
      </w:r>
      <w:hyperlink r:id="rId19" w:history="1">
        <w:r w:rsidR="0020526D" w:rsidRPr="00DD0F52">
          <w:rPr>
            <w:rStyle w:val="Hyperlink"/>
            <w:rFonts w:eastAsia="Malgun Gothic" w:hint="eastAsia"/>
            <w:lang w:eastAsia="ko-KR"/>
          </w:rPr>
          <w:t>project webpage</w:t>
        </w:r>
      </w:hyperlink>
      <w:r w:rsidR="001F0C27">
        <w:rPr>
          <w:rStyle w:val="Hyperlink"/>
          <w:rFonts w:eastAsia="Malgun Gothic"/>
          <w:color w:val="auto"/>
          <w:u w:val="none"/>
          <w:lang w:eastAsia="ko-KR"/>
        </w:rPr>
        <w:t xml:space="preserve"> of the Convention</w:t>
      </w:r>
      <w:r w:rsidR="00DD406E" w:rsidRPr="00AA2823">
        <w:rPr>
          <w:rStyle w:val="Hyperlink"/>
          <w:rFonts w:eastAsia="Malgun Gothic"/>
          <w:color w:val="auto"/>
          <w:u w:val="none"/>
          <w:lang w:eastAsia="ko-KR"/>
        </w:rPr>
        <w:t>)</w:t>
      </w:r>
      <w:r w:rsidR="00E63750">
        <w:rPr>
          <w:rFonts w:eastAsia="Malgun Gothic"/>
          <w:lang w:eastAsia="ko-KR"/>
        </w:rPr>
        <w:t xml:space="preserve">: </w:t>
      </w:r>
      <w:r w:rsidR="00E63750">
        <w:t xml:space="preserve">they were </w:t>
      </w:r>
      <w:r w:rsidR="00E63750">
        <w:rPr>
          <w:rFonts w:eastAsiaTheme="minorHAnsi"/>
        </w:rPr>
        <w:t xml:space="preserve">financed by </w:t>
      </w:r>
      <w:proofErr w:type="spellStart"/>
      <w:r w:rsidR="00E63750" w:rsidRPr="0058346E">
        <w:rPr>
          <w:rFonts w:eastAsiaTheme="minorHAnsi"/>
        </w:rPr>
        <w:t>extrabudgetary</w:t>
      </w:r>
      <w:proofErr w:type="spellEnd"/>
      <w:r w:rsidR="00E63750" w:rsidRPr="0058346E">
        <w:rPr>
          <w:rFonts w:eastAsiaTheme="minorHAnsi"/>
        </w:rPr>
        <w:t xml:space="preserve"> resources</w:t>
      </w:r>
      <w:r w:rsidR="00E63750" w:rsidRPr="0058346E">
        <w:rPr>
          <w:rFonts w:eastAsia="Malgun Gothic" w:hint="eastAsia"/>
          <w:lang w:eastAsia="ko-KR"/>
        </w:rPr>
        <w:t xml:space="preserve"> channelled through Funds-in-Trust Agreements </w:t>
      </w:r>
      <w:r w:rsidR="00E63750" w:rsidRPr="0058346E">
        <w:rPr>
          <w:rFonts w:eastAsia="Malgun Gothic"/>
          <w:lang w:eastAsia="ko-KR"/>
        </w:rPr>
        <w:t xml:space="preserve">(thanks to </w:t>
      </w:r>
      <w:r w:rsidR="00E63750" w:rsidRPr="0058346E">
        <w:rPr>
          <w:rFonts w:eastAsiaTheme="minorHAnsi"/>
        </w:rPr>
        <w:t xml:space="preserve">the </w:t>
      </w:r>
      <w:r w:rsidR="00E63750">
        <w:rPr>
          <w:rFonts w:eastAsiaTheme="minorHAnsi"/>
        </w:rPr>
        <w:t xml:space="preserve">European Union, Switzerland, and </w:t>
      </w:r>
      <w:r w:rsidR="00E63750" w:rsidRPr="0058346E">
        <w:rPr>
          <w:rFonts w:eastAsiaTheme="minorHAnsi"/>
        </w:rPr>
        <w:t>United Arab Emirates</w:t>
      </w:r>
      <w:r w:rsidR="00E63750" w:rsidRPr="0058346E">
        <w:rPr>
          <w:rFonts w:eastAsia="Malgun Gothic"/>
          <w:lang w:eastAsia="ko-KR"/>
        </w:rPr>
        <w:t>)</w:t>
      </w:r>
      <w:r w:rsidR="00E63750">
        <w:rPr>
          <w:rFonts w:eastAsia="Malgun Gothic"/>
          <w:lang w:eastAsia="ko-KR"/>
        </w:rPr>
        <w:t>,</w:t>
      </w:r>
      <w:r w:rsidR="00E63750" w:rsidRPr="0058346E">
        <w:rPr>
          <w:rFonts w:eastAsia="Malgun Gothic"/>
          <w:lang w:eastAsia="ko-KR"/>
        </w:rPr>
        <w:t xml:space="preserve"> </w:t>
      </w:r>
      <w:r w:rsidR="00E63750">
        <w:rPr>
          <w:rFonts w:eastAsia="Malgun Gothic"/>
          <w:lang w:eastAsia="ko-KR"/>
        </w:rPr>
        <w:t>e</w:t>
      </w:r>
      <w:r w:rsidR="00E63750" w:rsidRPr="0058346E">
        <w:rPr>
          <w:rFonts w:eastAsia="Malgun Gothic" w:hint="eastAsia"/>
          <w:lang w:eastAsia="ko-KR"/>
        </w:rPr>
        <w:t>armarked contributions to the Intangible Cultural Heritage Fund (</w:t>
      </w:r>
      <w:r w:rsidR="00E63750" w:rsidRPr="0058346E">
        <w:rPr>
          <w:rFonts w:eastAsia="Malgun Gothic"/>
          <w:lang w:eastAsia="ko-KR"/>
        </w:rPr>
        <w:t>thanks to Azerbaijan</w:t>
      </w:r>
      <w:r w:rsidR="00E63750">
        <w:rPr>
          <w:rFonts w:eastAsia="Malgun Gothic"/>
          <w:lang w:eastAsia="ko-KR"/>
        </w:rPr>
        <w:t xml:space="preserve">, </w:t>
      </w:r>
      <w:r w:rsidR="00E63750" w:rsidRPr="0016419D">
        <w:rPr>
          <w:rFonts w:eastAsia="Malgun Gothic"/>
          <w:lang w:eastAsia="ko-KR"/>
        </w:rPr>
        <w:t>Netherlands</w:t>
      </w:r>
      <w:r w:rsidR="00E63750">
        <w:rPr>
          <w:rFonts w:eastAsia="Malgun Gothic"/>
          <w:lang w:eastAsia="ko-KR"/>
        </w:rPr>
        <w:t>, and Spain</w:t>
      </w:r>
      <w:r w:rsidR="00E63750" w:rsidRPr="0016419D">
        <w:rPr>
          <w:rFonts w:eastAsia="Malgun Gothic"/>
          <w:lang w:eastAsia="ko-KR"/>
        </w:rPr>
        <w:t>)</w:t>
      </w:r>
      <w:r w:rsidR="00E63750">
        <w:rPr>
          <w:rFonts w:eastAsia="Malgun Gothic"/>
          <w:lang w:eastAsia="ko-KR"/>
        </w:rPr>
        <w:t xml:space="preserve">, self-benefitting projects (Morocco, Thailand), and </w:t>
      </w:r>
      <w:r w:rsidR="00193787">
        <w:rPr>
          <w:rFonts w:eastAsia="Malgun Gothic"/>
          <w:lang w:eastAsia="ko-KR"/>
        </w:rPr>
        <w:t xml:space="preserve">the </w:t>
      </w:r>
      <w:r w:rsidR="00E63750" w:rsidRPr="0016419D">
        <w:rPr>
          <w:rFonts w:eastAsia="Malgun Gothic"/>
          <w:lang w:eastAsia="ko-KR"/>
        </w:rPr>
        <w:t>international assistance</w:t>
      </w:r>
      <w:r w:rsidR="00E63750">
        <w:rPr>
          <w:rFonts w:eastAsia="Malgun Gothic"/>
          <w:lang w:eastAsia="ko-KR"/>
        </w:rPr>
        <w:t xml:space="preserve"> portfolio of the Intangible Cultural Heritage Fund</w:t>
      </w:r>
      <w:r w:rsidR="00E63750" w:rsidRPr="0016419D">
        <w:rPr>
          <w:rFonts w:eastAsia="Malgun Gothic"/>
          <w:lang w:eastAsia="ko-KR"/>
        </w:rPr>
        <w:t>.</w:t>
      </w:r>
      <w:proofErr w:type="gramEnd"/>
      <w:r w:rsidR="0020526D" w:rsidRPr="00DD0F52">
        <w:rPr>
          <w:rFonts w:eastAsiaTheme="minorHAnsi"/>
        </w:rPr>
        <w:t xml:space="preserve"> </w:t>
      </w:r>
      <w:r w:rsidR="001E5FD4" w:rsidRPr="001E5FD4">
        <w:rPr>
          <w:rFonts w:eastAsiaTheme="minorHAnsi"/>
          <w:b/>
        </w:rPr>
        <w:t>Policy support</w:t>
      </w:r>
      <w:r w:rsidR="001E5FD4">
        <w:rPr>
          <w:rFonts w:eastAsiaTheme="minorHAnsi"/>
        </w:rPr>
        <w:t xml:space="preserve"> was one of the areas in which the Secretariat concentrated its </w:t>
      </w:r>
      <w:r w:rsidR="00193787">
        <w:rPr>
          <w:rFonts w:eastAsiaTheme="minorHAnsi"/>
        </w:rPr>
        <w:t>efforts</w:t>
      </w:r>
      <w:r w:rsidR="001E5FD4">
        <w:rPr>
          <w:rFonts w:eastAsiaTheme="minorHAnsi"/>
        </w:rPr>
        <w:t xml:space="preserve">, encouraging the integration of </w:t>
      </w:r>
      <w:r w:rsidR="001F0C27">
        <w:rPr>
          <w:rFonts w:eastAsiaTheme="minorHAnsi"/>
        </w:rPr>
        <w:t xml:space="preserve">the </w:t>
      </w:r>
      <w:r w:rsidR="001E5FD4">
        <w:rPr>
          <w:rFonts w:eastAsiaTheme="minorHAnsi"/>
        </w:rPr>
        <w:t xml:space="preserve">safeguarding </w:t>
      </w:r>
      <w:r w:rsidR="001F0C27">
        <w:rPr>
          <w:rFonts w:eastAsiaTheme="minorHAnsi"/>
        </w:rPr>
        <w:t xml:space="preserve">of </w:t>
      </w:r>
      <w:r w:rsidR="001E5FD4">
        <w:rPr>
          <w:rFonts w:eastAsiaTheme="minorHAnsi"/>
        </w:rPr>
        <w:t xml:space="preserve">intangible cultural </w:t>
      </w:r>
      <w:r w:rsidR="00FF6472">
        <w:rPr>
          <w:rFonts w:eastAsiaTheme="minorHAnsi"/>
        </w:rPr>
        <w:t>heritage into</w:t>
      </w:r>
      <w:r w:rsidR="00984E3C">
        <w:rPr>
          <w:rFonts w:eastAsiaTheme="minorHAnsi"/>
        </w:rPr>
        <w:t xml:space="preserve"> policy development at country level</w:t>
      </w:r>
      <w:r w:rsidR="00FF6472">
        <w:rPr>
          <w:rFonts w:eastAsiaTheme="minorHAnsi"/>
        </w:rPr>
        <w:t>.</w:t>
      </w:r>
    </w:p>
    <w:p w14:paraId="4B55D009" w14:textId="25FAFEFA" w:rsidR="00FC0CA2" w:rsidRPr="006B688A" w:rsidRDefault="00420D9E" w:rsidP="00CA2CEF">
      <w:pPr>
        <w:pStyle w:val="COMPara"/>
        <w:ind w:left="567" w:hanging="567"/>
        <w:jc w:val="both"/>
        <w:rPr>
          <w:rStyle w:val="hps"/>
          <w:rFonts w:eastAsiaTheme="minorHAnsi"/>
        </w:rPr>
      </w:pPr>
      <w:r w:rsidRPr="001E5FD4">
        <w:rPr>
          <w:rFonts w:eastAsiaTheme="minorHAnsi"/>
        </w:rPr>
        <w:t>With a view to</w:t>
      </w:r>
      <w:r w:rsidR="00593A23" w:rsidRPr="001E5FD4">
        <w:rPr>
          <w:rFonts w:eastAsiaTheme="minorHAnsi"/>
        </w:rPr>
        <w:t xml:space="preserve"> further </w:t>
      </w:r>
      <w:r w:rsidR="001F0C27" w:rsidRPr="001E5FD4">
        <w:rPr>
          <w:rFonts w:eastAsiaTheme="minorHAnsi"/>
        </w:rPr>
        <w:t>consolidat</w:t>
      </w:r>
      <w:r w:rsidR="001F0C27">
        <w:rPr>
          <w:rFonts w:eastAsiaTheme="minorHAnsi"/>
        </w:rPr>
        <w:t>ing</w:t>
      </w:r>
      <w:r w:rsidR="001F0C27" w:rsidRPr="001E5FD4">
        <w:rPr>
          <w:rFonts w:eastAsiaTheme="minorHAnsi"/>
        </w:rPr>
        <w:t xml:space="preserve"> </w:t>
      </w:r>
      <w:r w:rsidR="00593A23">
        <w:rPr>
          <w:rStyle w:val="hps"/>
        </w:rPr>
        <w:t xml:space="preserve">the programme, the Secretariat focused on </w:t>
      </w:r>
      <w:r w:rsidR="00DD0F52">
        <w:rPr>
          <w:rStyle w:val="hps"/>
        </w:rPr>
        <w:t>stre</w:t>
      </w:r>
      <w:r w:rsidR="00FC0CA2" w:rsidRPr="005C61AA">
        <w:rPr>
          <w:rStyle w:val="hps"/>
        </w:rPr>
        <w:t>ngthen</w:t>
      </w:r>
      <w:r w:rsidR="00DD0F52">
        <w:rPr>
          <w:rStyle w:val="hps"/>
        </w:rPr>
        <w:t>ing</w:t>
      </w:r>
      <w:r w:rsidR="00FC0CA2" w:rsidRPr="005C61AA">
        <w:rPr>
          <w:rStyle w:val="hps"/>
        </w:rPr>
        <w:t xml:space="preserve"> its </w:t>
      </w:r>
      <w:r w:rsidR="00FC0CA2" w:rsidRPr="00593DFB">
        <w:rPr>
          <w:rStyle w:val="hps"/>
          <w:b/>
        </w:rPr>
        <w:t>global network of facilitators</w:t>
      </w:r>
      <w:r w:rsidR="00FC0CA2" w:rsidRPr="005C61AA">
        <w:rPr>
          <w:rStyle w:val="hps"/>
        </w:rPr>
        <w:t xml:space="preserve"> </w:t>
      </w:r>
      <w:r w:rsidR="00DD0F52">
        <w:rPr>
          <w:rStyle w:val="hps"/>
        </w:rPr>
        <w:t>of the capacity-building programme</w:t>
      </w:r>
      <w:r w:rsidR="00984E3C">
        <w:rPr>
          <w:rStyle w:val="hps"/>
        </w:rPr>
        <w:t>. T</w:t>
      </w:r>
      <w:r w:rsidR="00FC0CA2" w:rsidRPr="005C61AA">
        <w:rPr>
          <w:rStyle w:val="hps"/>
        </w:rPr>
        <w:t xml:space="preserve">wo </w:t>
      </w:r>
      <w:r w:rsidRPr="00593DFB">
        <w:rPr>
          <w:rStyle w:val="hps"/>
        </w:rPr>
        <w:t xml:space="preserve">training </w:t>
      </w:r>
      <w:r w:rsidR="00593A23" w:rsidRPr="00593DFB">
        <w:rPr>
          <w:rStyle w:val="hps"/>
        </w:rPr>
        <w:t xml:space="preserve">workshops </w:t>
      </w:r>
      <w:r w:rsidR="00984E3C">
        <w:rPr>
          <w:rStyle w:val="hps"/>
        </w:rPr>
        <w:t>for</w:t>
      </w:r>
      <w:r w:rsidR="00984E3C" w:rsidRPr="00593DFB">
        <w:rPr>
          <w:rStyle w:val="hps"/>
        </w:rPr>
        <w:t xml:space="preserve"> </w:t>
      </w:r>
      <w:r w:rsidR="00593A23" w:rsidRPr="00593DFB">
        <w:rPr>
          <w:rStyle w:val="hps"/>
        </w:rPr>
        <w:t>facilitators</w:t>
      </w:r>
      <w:r w:rsidR="00FC0CA2" w:rsidRPr="00593DFB">
        <w:rPr>
          <w:rStyle w:val="hps"/>
        </w:rPr>
        <w:t xml:space="preserve"> </w:t>
      </w:r>
      <w:proofErr w:type="gramStart"/>
      <w:r w:rsidR="00FC0CA2" w:rsidRPr="00593DFB">
        <w:rPr>
          <w:rStyle w:val="hps"/>
        </w:rPr>
        <w:t>were organized</w:t>
      </w:r>
      <w:proofErr w:type="gramEnd"/>
      <w:r w:rsidR="00FD7382">
        <w:rPr>
          <w:rStyle w:val="hps"/>
        </w:rPr>
        <w:t xml:space="preserve"> in collaboration with</w:t>
      </w:r>
      <w:r w:rsidR="00FD7382" w:rsidRPr="00FD7382">
        <w:rPr>
          <w:rStyle w:val="hps"/>
        </w:rPr>
        <w:t xml:space="preserve"> </w:t>
      </w:r>
      <w:r w:rsidR="00FD7382" w:rsidRPr="005C61AA">
        <w:rPr>
          <w:rStyle w:val="hps"/>
        </w:rPr>
        <w:t>the International Training Centre for Intangible Cultural Heritage in the Asia-Pacific Region</w:t>
      </w:r>
      <w:r w:rsidR="00FD7382">
        <w:rPr>
          <w:rStyle w:val="hps"/>
        </w:rPr>
        <w:t xml:space="preserve"> (CRIHAP</w:t>
      </w:r>
      <w:r w:rsidR="00CA2CEF">
        <w:rPr>
          <w:rStyle w:val="hps"/>
        </w:rPr>
        <w:t>, a</w:t>
      </w:r>
      <w:r w:rsidR="000138AC">
        <w:rPr>
          <w:rStyle w:val="hps"/>
        </w:rPr>
        <w:t xml:space="preserve"> category 2 </w:t>
      </w:r>
      <w:r w:rsidR="00CA2CEF">
        <w:rPr>
          <w:rStyle w:val="hps"/>
        </w:rPr>
        <w:t>c</w:t>
      </w:r>
      <w:r w:rsidR="000138AC">
        <w:rPr>
          <w:rStyle w:val="hps"/>
        </w:rPr>
        <w:t>entre</w:t>
      </w:r>
      <w:r w:rsidR="00FD7382">
        <w:rPr>
          <w:rStyle w:val="hps"/>
        </w:rPr>
        <w:t>)</w:t>
      </w:r>
      <w:r w:rsidRPr="00593DFB">
        <w:rPr>
          <w:rStyle w:val="hps"/>
        </w:rPr>
        <w:t>,</w:t>
      </w:r>
      <w:r w:rsidR="00DD0F52" w:rsidRPr="00593DFB">
        <w:rPr>
          <w:rStyle w:val="hps"/>
        </w:rPr>
        <w:t xml:space="preserve"> one </w:t>
      </w:r>
      <w:r w:rsidR="00FD7382">
        <w:rPr>
          <w:rStyle w:val="hps"/>
        </w:rPr>
        <w:t xml:space="preserve">in Almaty, Kazakhstan </w:t>
      </w:r>
      <w:r w:rsidR="00DD0F52" w:rsidRPr="00593DFB">
        <w:rPr>
          <w:rStyle w:val="hps"/>
        </w:rPr>
        <w:t>for Central Asian countr</w:t>
      </w:r>
      <w:r w:rsidR="00DD0F52">
        <w:rPr>
          <w:rStyle w:val="hps"/>
        </w:rPr>
        <w:t>ies</w:t>
      </w:r>
      <w:r w:rsidR="00FD7382">
        <w:rPr>
          <w:rStyle w:val="hps"/>
        </w:rPr>
        <w:t>,</w:t>
      </w:r>
      <w:r w:rsidR="00DD0F52">
        <w:rPr>
          <w:rStyle w:val="hps"/>
        </w:rPr>
        <w:t xml:space="preserve"> and the other </w:t>
      </w:r>
      <w:r w:rsidR="00FD7382">
        <w:rPr>
          <w:rStyle w:val="hps"/>
        </w:rPr>
        <w:t xml:space="preserve">in Hangzhou, China </w:t>
      </w:r>
      <w:r w:rsidR="00DD0F52">
        <w:rPr>
          <w:rStyle w:val="hps"/>
        </w:rPr>
        <w:t>for Asia and the Pacific region</w:t>
      </w:r>
      <w:r w:rsidR="00593A23">
        <w:rPr>
          <w:rStyle w:val="hps"/>
        </w:rPr>
        <w:t xml:space="preserve"> at large</w:t>
      </w:r>
      <w:r w:rsidR="00DD0F52">
        <w:rPr>
          <w:rStyle w:val="hps"/>
        </w:rPr>
        <w:t>.</w:t>
      </w:r>
      <w:r w:rsidR="00FC0CA2" w:rsidRPr="005C61AA">
        <w:rPr>
          <w:rStyle w:val="hps"/>
        </w:rPr>
        <w:t xml:space="preserve"> </w:t>
      </w:r>
      <w:r w:rsidR="00593A23">
        <w:rPr>
          <w:rStyle w:val="hps"/>
        </w:rPr>
        <w:t>Furthermore, n</w:t>
      </w:r>
      <w:r w:rsidR="00AF1C74">
        <w:rPr>
          <w:rStyle w:val="hps"/>
        </w:rPr>
        <w:t>etworking activities with tertiary education</w:t>
      </w:r>
      <w:r w:rsidR="001F0C27">
        <w:rPr>
          <w:rStyle w:val="hps"/>
        </w:rPr>
        <w:t>al</w:t>
      </w:r>
      <w:r w:rsidR="00AF1C74">
        <w:rPr>
          <w:rStyle w:val="hps"/>
        </w:rPr>
        <w:t xml:space="preserve"> institutions </w:t>
      </w:r>
      <w:proofErr w:type="gramStart"/>
      <w:r w:rsidR="001F0C27">
        <w:rPr>
          <w:rStyle w:val="hps"/>
        </w:rPr>
        <w:t xml:space="preserve">were </w:t>
      </w:r>
      <w:r w:rsidR="00AF1C74">
        <w:rPr>
          <w:rStyle w:val="hps"/>
        </w:rPr>
        <w:t>extended</w:t>
      </w:r>
      <w:proofErr w:type="gramEnd"/>
      <w:r w:rsidR="00AF1C74">
        <w:rPr>
          <w:rStyle w:val="hps"/>
        </w:rPr>
        <w:t xml:space="preserve"> to the Africa region with the launch of a survey to map the distribution of university programmes and courses on intangible cultural heritage.</w:t>
      </w:r>
      <w:r w:rsidR="004D43E4">
        <w:rPr>
          <w:rStyle w:val="hps"/>
        </w:rPr>
        <w:t xml:space="preserve"> As part of the development of </w:t>
      </w:r>
      <w:r w:rsidR="004D43E4" w:rsidRPr="001E5FD4">
        <w:rPr>
          <w:rStyle w:val="hps"/>
          <w:b/>
        </w:rPr>
        <w:t>capacity-building materials</w:t>
      </w:r>
      <w:r w:rsidR="001F0C27">
        <w:rPr>
          <w:rStyle w:val="hps"/>
        </w:rPr>
        <w:t>,</w:t>
      </w:r>
      <w:r w:rsidR="00F03A1F" w:rsidRPr="001E5FD4">
        <w:rPr>
          <w:rStyle w:val="hps"/>
          <w:rFonts w:eastAsiaTheme="minorHAnsi"/>
        </w:rPr>
        <w:t xml:space="preserve"> </w:t>
      </w:r>
      <w:r w:rsidR="001F0C27">
        <w:rPr>
          <w:rStyle w:val="hps"/>
          <w:rFonts w:eastAsiaTheme="minorHAnsi"/>
        </w:rPr>
        <w:t xml:space="preserve">mention should be made of </w:t>
      </w:r>
      <w:r w:rsidR="00FC0CA2" w:rsidRPr="005C61AA">
        <w:rPr>
          <w:rStyle w:val="hps"/>
        </w:rPr>
        <w:t xml:space="preserve">a new </w:t>
      </w:r>
      <w:r w:rsidR="000A4E01">
        <w:rPr>
          <w:rStyle w:val="hps"/>
        </w:rPr>
        <w:t>video</w:t>
      </w:r>
      <w:r w:rsidR="00EB7914">
        <w:rPr>
          <w:rStyle w:val="hps"/>
        </w:rPr>
        <w:t xml:space="preserve"> </w:t>
      </w:r>
      <w:r w:rsidR="00FC0CA2" w:rsidRPr="005C61AA">
        <w:rPr>
          <w:rStyle w:val="hps"/>
        </w:rPr>
        <w:t xml:space="preserve">animation exploring </w:t>
      </w:r>
      <w:r w:rsidR="00FC0CA2">
        <w:rPr>
          <w:rStyle w:val="hps"/>
        </w:rPr>
        <w:t>the relationship between gender and intangible cultural heritage</w:t>
      </w:r>
      <w:r w:rsidR="00753DFB">
        <w:rPr>
          <w:rStyle w:val="hps"/>
        </w:rPr>
        <w:t xml:space="preserve">. </w:t>
      </w:r>
      <w:r w:rsidR="000912B8">
        <w:rPr>
          <w:rStyle w:val="hps"/>
        </w:rPr>
        <w:t xml:space="preserve">For use by facilitators, new linguistic versions of </w:t>
      </w:r>
      <w:r w:rsidR="00332E0F">
        <w:rPr>
          <w:rStyle w:val="hps"/>
        </w:rPr>
        <w:t xml:space="preserve">various </w:t>
      </w:r>
      <w:r w:rsidR="000912B8">
        <w:rPr>
          <w:rStyle w:val="hps"/>
        </w:rPr>
        <w:t xml:space="preserve">materials </w:t>
      </w:r>
      <w:proofErr w:type="gramStart"/>
      <w:r w:rsidR="000912B8">
        <w:rPr>
          <w:rStyle w:val="hps"/>
        </w:rPr>
        <w:t>were made</w:t>
      </w:r>
      <w:proofErr w:type="gramEnd"/>
      <w:r w:rsidR="000912B8">
        <w:rPr>
          <w:rStyle w:val="hps"/>
        </w:rPr>
        <w:t xml:space="preserve"> available</w:t>
      </w:r>
      <w:r w:rsidR="00593DFB">
        <w:rPr>
          <w:rStyle w:val="hps"/>
        </w:rPr>
        <w:t>, including</w:t>
      </w:r>
      <w:r w:rsidR="000912B8">
        <w:rPr>
          <w:rStyle w:val="hps"/>
        </w:rPr>
        <w:t xml:space="preserve"> on </w:t>
      </w:r>
      <w:r w:rsidR="00FC0CA2" w:rsidRPr="005C61AA">
        <w:rPr>
          <w:rStyle w:val="hps"/>
        </w:rPr>
        <w:t xml:space="preserve">the </w:t>
      </w:r>
      <w:r w:rsidR="00FC0CA2">
        <w:rPr>
          <w:rStyle w:val="hps"/>
        </w:rPr>
        <w:t>topic of</w:t>
      </w:r>
      <w:r w:rsidR="00FC0CA2" w:rsidRPr="005C61AA">
        <w:rPr>
          <w:rStyle w:val="hps"/>
        </w:rPr>
        <w:t xml:space="preserve"> safeguarding intangible cultural heritage and sustainable development, </w:t>
      </w:r>
      <w:r w:rsidR="000912B8">
        <w:rPr>
          <w:rStyle w:val="hps"/>
        </w:rPr>
        <w:t xml:space="preserve">policy </w:t>
      </w:r>
      <w:r w:rsidR="00332E0F">
        <w:rPr>
          <w:rStyle w:val="hps"/>
        </w:rPr>
        <w:t>support</w:t>
      </w:r>
      <w:r w:rsidR="000912B8">
        <w:rPr>
          <w:rStyle w:val="hps"/>
        </w:rPr>
        <w:t xml:space="preserve"> and </w:t>
      </w:r>
      <w:r w:rsidR="00FC0CA2" w:rsidRPr="005C61AA">
        <w:rPr>
          <w:rStyle w:val="hps"/>
        </w:rPr>
        <w:t>pilot inventorying acti</w:t>
      </w:r>
      <w:r w:rsidR="000912B8">
        <w:rPr>
          <w:rStyle w:val="hps"/>
        </w:rPr>
        <w:t>vities</w:t>
      </w:r>
      <w:r w:rsidR="00FC0CA2" w:rsidRPr="005C61AA">
        <w:rPr>
          <w:rStyle w:val="hps"/>
        </w:rPr>
        <w:t>.</w:t>
      </w:r>
    </w:p>
    <w:p w14:paraId="67092AFF" w14:textId="5B598CC7" w:rsidR="00F36D65" w:rsidRPr="00AA2823" w:rsidRDefault="00F36D65" w:rsidP="006B688A">
      <w:pPr>
        <w:pStyle w:val="COMPara"/>
        <w:keepNext/>
        <w:numPr>
          <w:ilvl w:val="0"/>
          <w:numId w:val="0"/>
        </w:numPr>
        <w:spacing w:before="240"/>
        <w:jc w:val="both"/>
        <w:rPr>
          <w:rStyle w:val="hps"/>
          <w:rFonts w:eastAsiaTheme="minorHAnsi"/>
        </w:rPr>
      </w:pPr>
      <w:r w:rsidRPr="00ED5697">
        <w:rPr>
          <w:b/>
          <w:lang w:val="en-US"/>
        </w:rPr>
        <w:t>Intangible cultural heritage and education</w:t>
      </w:r>
    </w:p>
    <w:p w14:paraId="7B5F9372" w14:textId="5FF89359" w:rsidR="0020526D" w:rsidRPr="006B688A" w:rsidRDefault="00F0515A" w:rsidP="00F0515A">
      <w:pPr>
        <w:pStyle w:val="COMPara"/>
        <w:ind w:left="567" w:hanging="567"/>
        <w:jc w:val="both"/>
        <w:rPr>
          <w:rFonts w:eastAsiaTheme="minorHAnsi"/>
        </w:rPr>
      </w:pPr>
      <w:r w:rsidRPr="00C904BB">
        <w:rPr>
          <w:lang w:val="en-US"/>
        </w:rPr>
        <w:t xml:space="preserve">Work has advanced on </w:t>
      </w:r>
      <w:r w:rsidR="00C904BB">
        <w:rPr>
          <w:lang w:val="en-US"/>
        </w:rPr>
        <w:t xml:space="preserve">the </w:t>
      </w:r>
      <w:r w:rsidRPr="00C904BB">
        <w:rPr>
          <w:lang w:val="en-US"/>
        </w:rPr>
        <w:t xml:space="preserve">new funding priority on ‘Safeguarding intangible cultural heritage in formal and non-formal education,’ </w:t>
      </w:r>
      <w:r w:rsidR="00C904BB">
        <w:rPr>
          <w:lang w:val="en-US"/>
        </w:rPr>
        <w:t>approved by the Committee at its twelfth session</w:t>
      </w:r>
      <w:r w:rsidR="00B537C0">
        <w:rPr>
          <w:lang w:val="en-US"/>
        </w:rPr>
        <w:t>, which contribute</w:t>
      </w:r>
      <w:r w:rsidR="00595169">
        <w:rPr>
          <w:lang w:val="en-US"/>
        </w:rPr>
        <w:t>s</w:t>
      </w:r>
      <w:r w:rsidR="00B537C0">
        <w:rPr>
          <w:lang w:val="en-US"/>
        </w:rPr>
        <w:t xml:space="preserve"> to the </w:t>
      </w:r>
      <w:r w:rsidR="000A4E01">
        <w:rPr>
          <w:lang w:val="en-US"/>
        </w:rPr>
        <w:t>attainment</w:t>
      </w:r>
      <w:r w:rsidR="00B537C0">
        <w:rPr>
          <w:lang w:val="en-US"/>
        </w:rPr>
        <w:t xml:space="preserve"> of SDG 4.7</w:t>
      </w:r>
      <w:r w:rsidRPr="00C904BB">
        <w:rPr>
          <w:lang w:val="en-US"/>
        </w:rPr>
        <w:t xml:space="preserve">. In addition to preparing a concept note and contacting potentially interested donors for support, </w:t>
      </w:r>
      <w:r w:rsidR="00C904BB">
        <w:rPr>
          <w:lang w:val="en-US"/>
        </w:rPr>
        <w:t xml:space="preserve">the Secretariat </w:t>
      </w:r>
      <w:r w:rsidRPr="00C904BB">
        <w:rPr>
          <w:lang w:val="en-US"/>
        </w:rPr>
        <w:t xml:space="preserve">initiated </w:t>
      </w:r>
      <w:r w:rsidR="00C904BB" w:rsidRPr="00C904BB">
        <w:rPr>
          <w:lang w:val="en-US"/>
        </w:rPr>
        <w:t xml:space="preserve">activities </w:t>
      </w:r>
      <w:r w:rsidR="008E6F39">
        <w:rPr>
          <w:lang w:val="en-US"/>
        </w:rPr>
        <w:t xml:space="preserve">through Field Offices </w:t>
      </w:r>
      <w:r w:rsidRPr="00C904BB">
        <w:rPr>
          <w:lang w:val="en-US"/>
        </w:rPr>
        <w:t xml:space="preserve">in </w:t>
      </w:r>
      <w:r w:rsidR="008E6F39">
        <w:rPr>
          <w:lang w:val="en-US"/>
        </w:rPr>
        <w:t>nine</w:t>
      </w:r>
      <w:r w:rsidRPr="00C904BB">
        <w:rPr>
          <w:lang w:val="en-US"/>
        </w:rPr>
        <w:t xml:space="preserve"> countries, </w:t>
      </w:r>
      <w:r w:rsidR="00D60F2F" w:rsidRPr="00C904BB">
        <w:rPr>
          <w:lang w:val="en-US"/>
        </w:rPr>
        <w:t xml:space="preserve">two </w:t>
      </w:r>
      <w:r w:rsidRPr="00C904BB">
        <w:rPr>
          <w:lang w:val="en-US"/>
        </w:rPr>
        <w:t xml:space="preserve">of which </w:t>
      </w:r>
      <w:r w:rsidR="001F0C27">
        <w:rPr>
          <w:lang w:val="en-US"/>
        </w:rPr>
        <w:t xml:space="preserve">were </w:t>
      </w:r>
      <w:r w:rsidRPr="00C904BB">
        <w:rPr>
          <w:lang w:val="en-US"/>
        </w:rPr>
        <w:t xml:space="preserve">in Africa. Collaboration with UNESCO-UNEVOC and </w:t>
      </w:r>
      <w:r w:rsidR="001F0C27">
        <w:rPr>
          <w:lang w:val="en-US"/>
        </w:rPr>
        <w:t xml:space="preserve">the </w:t>
      </w:r>
      <w:r w:rsidRPr="00C904BB">
        <w:rPr>
          <w:lang w:val="en-US"/>
        </w:rPr>
        <w:t>UNESCO</w:t>
      </w:r>
      <w:r w:rsidR="001F0C27">
        <w:rPr>
          <w:lang w:val="en-US"/>
        </w:rPr>
        <w:t>-</w:t>
      </w:r>
      <w:r w:rsidRPr="00C904BB">
        <w:rPr>
          <w:lang w:val="en-US"/>
        </w:rPr>
        <w:t xml:space="preserve">associated </w:t>
      </w:r>
      <w:r w:rsidR="008E6F39">
        <w:rPr>
          <w:lang w:val="en-US"/>
        </w:rPr>
        <w:t>s</w:t>
      </w:r>
      <w:r w:rsidRPr="00C904BB">
        <w:rPr>
          <w:lang w:val="en-US"/>
        </w:rPr>
        <w:t xml:space="preserve">chools project </w:t>
      </w:r>
      <w:r w:rsidR="008E6F39">
        <w:rPr>
          <w:lang w:val="en-US"/>
        </w:rPr>
        <w:t>n</w:t>
      </w:r>
      <w:r w:rsidRPr="00C904BB">
        <w:rPr>
          <w:lang w:val="en-US"/>
        </w:rPr>
        <w:t xml:space="preserve">etwork </w:t>
      </w:r>
      <w:proofErr w:type="gramStart"/>
      <w:r w:rsidRPr="00C904BB">
        <w:rPr>
          <w:lang w:val="en-US"/>
        </w:rPr>
        <w:t>was strengthened</w:t>
      </w:r>
      <w:proofErr w:type="gramEnd"/>
      <w:r w:rsidRPr="00C904BB">
        <w:rPr>
          <w:lang w:val="en-US"/>
        </w:rPr>
        <w:t xml:space="preserve"> </w:t>
      </w:r>
      <w:r w:rsidR="00D60F2F">
        <w:rPr>
          <w:lang w:val="en-US"/>
        </w:rPr>
        <w:t>through work</w:t>
      </w:r>
      <w:r w:rsidRPr="00C904BB">
        <w:rPr>
          <w:lang w:val="en-US"/>
        </w:rPr>
        <w:t xml:space="preserve"> on joint project proposals. At the global level, the Secretariat </w:t>
      </w:r>
      <w:r w:rsidR="004A2071">
        <w:rPr>
          <w:lang w:val="en-US"/>
        </w:rPr>
        <w:t xml:space="preserve">organized a roundtable </w:t>
      </w:r>
      <w:r w:rsidR="00055CA6">
        <w:rPr>
          <w:lang w:val="en-US"/>
        </w:rPr>
        <w:t xml:space="preserve">at </w:t>
      </w:r>
      <w:r w:rsidR="004A2071">
        <w:rPr>
          <w:lang w:val="en-US"/>
        </w:rPr>
        <w:t xml:space="preserve">the seventh session of the General Assembly on ‘Safeguarding intangible cultural heritage in formal and non-formal education’ to raise awareness </w:t>
      </w:r>
      <w:r w:rsidR="001F0C27">
        <w:rPr>
          <w:lang w:val="en-US"/>
        </w:rPr>
        <w:t xml:space="preserve">about </w:t>
      </w:r>
      <w:r w:rsidR="004A2071">
        <w:rPr>
          <w:lang w:val="en-US"/>
        </w:rPr>
        <w:t>this new funding priority.</w:t>
      </w:r>
    </w:p>
    <w:p w14:paraId="7936FEBB" w14:textId="0B26093D" w:rsidR="00F36D65" w:rsidRPr="00C904BB" w:rsidRDefault="00F36D65" w:rsidP="006B688A">
      <w:pPr>
        <w:pStyle w:val="COMPara"/>
        <w:keepNext/>
        <w:numPr>
          <w:ilvl w:val="0"/>
          <w:numId w:val="0"/>
        </w:numPr>
        <w:spacing w:before="240"/>
        <w:jc w:val="both"/>
        <w:rPr>
          <w:rFonts w:eastAsiaTheme="minorHAnsi"/>
        </w:rPr>
      </w:pPr>
      <w:r w:rsidRPr="006B688A">
        <w:rPr>
          <w:b/>
          <w:lang w:val="en-US"/>
        </w:rPr>
        <w:t>Thematic initiatives</w:t>
      </w:r>
    </w:p>
    <w:p w14:paraId="06D88A1D" w14:textId="17E47AFC" w:rsidR="0020526D" w:rsidRPr="002B6112" w:rsidRDefault="00ED5697" w:rsidP="002B6112">
      <w:pPr>
        <w:pStyle w:val="COMPara"/>
        <w:ind w:left="567" w:hanging="567"/>
        <w:jc w:val="both"/>
      </w:pPr>
      <w:r w:rsidRPr="00ED5697">
        <w:rPr>
          <w:rFonts w:eastAsia="Calibri"/>
          <w:b/>
        </w:rPr>
        <w:t>Intangible cultural heritage in emergencies</w:t>
      </w:r>
      <w:r>
        <w:rPr>
          <w:rFonts w:eastAsia="Calibri"/>
        </w:rPr>
        <w:t xml:space="preserve">: </w:t>
      </w:r>
      <w:r w:rsidR="00FA7986">
        <w:rPr>
          <w:rFonts w:eastAsia="Calibri"/>
        </w:rPr>
        <w:t>Based on</w:t>
      </w:r>
      <w:r w:rsidR="008D60E5">
        <w:rPr>
          <w:rFonts w:eastAsia="Calibri"/>
        </w:rPr>
        <w:t xml:space="preserve"> the indications given by the eleventh and twelfth sessions of the Committee,</w:t>
      </w:r>
      <w:r w:rsidR="00D97072" w:rsidRPr="00A1753C">
        <w:rPr>
          <w:rFonts w:eastAsia="Calibri"/>
        </w:rPr>
        <w:t xml:space="preserve"> the </w:t>
      </w:r>
      <w:r w:rsidR="009B6E8E" w:rsidRPr="00A1753C">
        <w:rPr>
          <w:rFonts w:eastAsia="Calibri"/>
        </w:rPr>
        <w:t xml:space="preserve">Secretariat </w:t>
      </w:r>
      <w:r w:rsidR="000C12FF" w:rsidRPr="00A1753C">
        <w:rPr>
          <w:rFonts w:eastAsia="Calibri"/>
        </w:rPr>
        <w:t>has</w:t>
      </w:r>
      <w:r w:rsidR="00A1753C">
        <w:rPr>
          <w:rFonts w:eastAsia="Calibri"/>
        </w:rPr>
        <w:t xml:space="preserve"> </w:t>
      </w:r>
      <w:r w:rsidR="008D60E5">
        <w:rPr>
          <w:rFonts w:eastAsia="Calibri"/>
        </w:rPr>
        <w:t>started</w:t>
      </w:r>
      <w:r w:rsidR="00A1753C">
        <w:rPr>
          <w:rFonts w:eastAsia="Calibri"/>
        </w:rPr>
        <w:t xml:space="preserve"> activities</w:t>
      </w:r>
      <w:r w:rsidR="008D60E5">
        <w:rPr>
          <w:rFonts w:eastAsia="Calibri"/>
        </w:rPr>
        <w:t xml:space="preserve"> </w:t>
      </w:r>
      <w:r w:rsidR="000C12FF" w:rsidRPr="00A1753C">
        <w:rPr>
          <w:rFonts w:eastAsia="Calibri"/>
        </w:rPr>
        <w:t xml:space="preserve">to </w:t>
      </w:r>
      <w:r w:rsidR="008D60E5">
        <w:rPr>
          <w:rFonts w:eastAsia="Calibri"/>
        </w:rPr>
        <w:t>identify</w:t>
      </w:r>
      <w:r w:rsidR="00D97072" w:rsidRPr="00A1753C">
        <w:rPr>
          <w:rFonts w:eastAsia="Calibri"/>
        </w:rPr>
        <w:t xml:space="preserve"> methodologies for the safeguarding of intangible cultural heritage in situations of emergency </w:t>
      </w:r>
      <w:r w:rsidR="000C12FF" w:rsidRPr="00A1753C">
        <w:rPr>
          <w:rFonts w:eastAsia="Calibri"/>
        </w:rPr>
        <w:t>as well as to strengthen</w:t>
      </w:r>
      <w:r w:rsidR="00D97072" w:rsidRPr="00A1753C">
        <w:rPr>
          <w:rFonts w:eastAsia="Calibri"/>
        </w:rPr>
        <w:t xml:space="preserve"> cooperation with other entities</w:t>
      </w:r>
      <w:r w:rsidR="008D60E5">
        <w:rPr>
          <w:rFonts w:eastAsia="Calibri"/>
        </w:rPr>
        <w:t xml:space="preserve"> – UN or otherwise –</w:t>
      </w:r>
      <w:r w:rsidR="00D97072" w:rsidRPr="00A1753C">
        <w:rPr>
          <w:rFonts w:eastAsia="Calibri"/>
        </w:rPr>
        <w:t xml:space="preserve"> by sharing experiences. </w:t>
      </w:r>
      <w:r w:rsidR="000138AC">
        <w:rPr>
          <w:rFonts w:eastAsia="Calibri"/>
        </w:rPr>
        <w:t xml:space="preserve">It </w:t>
      </w:r>
      <w:proofErr w:type="gramStart"/>
      <w:r w:rsidR="000138AC">
        <w:rPr>
          <w:rFonts w:eastAsia="Calibri"/>
        </w:rPr>
        <w:t>is proposed</w:t>
      </w:r>
      <w:proofErr w:type="gramEnd"/>
      <w:r w:rsidR="000138AC">
        <w:rPr>
          <w:rFonts w:eastAsia="Calibri"/>
        </w:rPr>
        <w:t xml:space="preserve"> that t</w:t>
      </w:r>
      <w:r w:rsidR="008361A4">
        <w:rPr>
          <w:rFonts w:eastAsia="Calibri"/>
        </w:rPr>
        <w:t>he results of t</w:t>
      </w:r>
      <w:r w:rsidR="008D60E5">
        <w:rPr>
          <w:rFonts w:eastAsia="Calibri"/>
        </w:rPr>
        <w:t>hese initiatives</w:t>
      </w:r>
      <w:r w:rsidR="001F0C27">
        <w:rPr>
          <w:rFonts w:eastAsia="Calibri"/>
        </w:rPr>
        <w:t xml:space="preserve"> will</w:t>
      </w:r>
      <w:r w:rsidR="008D60E5">
        <w:rPr>
          <w:rFonts w:eastAsia="Calibri"/>
        </w:rPr>
        <w:t xml:space="preserve"> </w:t>
      </w:r>
      <w:r w:rsidR="008361A4">
        <w:rPr>
          <w:rFonts w:eastAsia="Calibri"/>
        </w:rPr>
        <w:t>form</w:t>
      </w:r>
      <w:r w:rsidR="001F0C27">
        <w:rPr>
          <w:rFonts w:eastAsia="Calibri"/>
        </w:rPr>
        <w:t xml:space="preserve"> the</w:t>
      </w:r>
      <w:r w:rsidR="008361A4">
        <w:rPr>
          <w:rFonts w:eastAsia="Calibri"/>
        </w:rPr>
        <w:t xml:space="preserve"> basis for </w:t>
      </w:r>
      <w:r w:rsidR="00FA7986">
        <w:rPr>
          <w:rFonts w:eastAsia="Calibri"/>
        </w:rPr>
        <w:t xml:space="preserve">convening </w:t>
      </w:r>
      <w:r w:rsidR="00D97072" w:rsidRPr="00A1753C">
        <w:rPr>
          <w:rFonts w:eastAsia="Calibri"/>
        </w:rPr>
        <w:t>a meeting</w:t>
      </w:r>
      <w:r w:rsidR="00FA7986">
        <w:rPr>
          <w:rFonts w:eastAsia="Calibri"/>
        </w:rPr>
        <w:t xml:space="preserve"> of experts</w:t>
      </w:r>
      <w:r w:rsidR="00D97072" w:rsidRPr="00A1753C">
        <w:rPr>
          <w:rFonts w:eastAsia="Calibri"/>
        </w:rPr>
        <w:t xml:space="preserve"> </w:t>
      </w:r>
      <w:r w:rsidR="008D60E5">
        <w:rPr>
          <w:rFonts w:eastAsia="Calibri"/>
        </w:rPr>
        <w:t>in 2019</w:t>
      </w:r>
      <w:r w:rsidR="00FA7986">
        <w:rPr>
          <w:rFonts w:eastAsia="Calibri"/>
        </w:rPr>
        <w:t>, with support from the Government of</w:t>
      </w:r>
      <w:r w:rsidR="00465F03">
        <w:rPr>
          <w:rFonts w:eastAsia="Calibri"/>
        </w:rPr>
        <w:t xml:space="preserve"> the</w:t>
      </w:r>
      <w:r w:rsidR="0075607A">
        <w:rPr>
          <w:rFonts w:eastAsia="Calibri"/>
        </w:rPr>
        <w:t xml:space="preserve"> People’s Republic of</w:t>
      </w:r>
      <w:r w:rsidR="00FA7986">
        <w:rPr>
          <w:rFonts w:eastAsia="Calibri"/>
        </w:rPr>
        <w:t xml:space="preserve"> China,</w:t>
      </w:r>
      <w:r w:rsidR="00D97072" w:rsidRPr="00A1753C">
        <w:rPr>
          <w:rFonts w:eastAsia="Calibri"/>
        </w:rPr>
        <w:t xml:space="preserve"> to conceptualize the knowledge and experience acquired into methodological guidance for States Parties.</w:t>
      </w:r>
      <w:r w:rsidR="00A1753C">
        <w:rPr>
          <w:rFonts w:eastAsia="Calibri"/>
        </w:rPr>
        <w:t xml:space="preserve"> </w:t>
      </w:r>
      <w:r w:rsidR="00A1753C" w:rsidRPr="00A1753C">
        <w:rPr>
          <w:lang w:val="en-US"/>
        </w:rPr>
        <w:t>During the reporting period, t</w:t>
      </w:r>
      <w:r w:rsidR="0020526D" w:rsidRPr="00A1753C">
        <w:rPr>
          <w:lang w:val="en-US"/>
        </w:rPr>
        <w:t xml:space="preserve">he Secretariat also </w:t>
      </w:r>
      <w:proofErr w:type="spellStart"/>
      <w:r w:rsidR="00A65048">
        <w:rPr>
          <w:lang w:val="en-US"/>
        </w:rPr>
        <w:t>accompagnied</w:t>
      </w:r>
      <w:proofErr w:type="spellEnd"/>
      <w:r w:rsidR="0020526D" w:rsidRPr="00A1753C">
        <w:rPr>
          <w:lang w:val="en-US"/>
        </w:rPr>
        <w:t xml:space="preserve"> the preparation and implementation of emergency International Assistance requests in </w:t>
      </w:r>
      <w:r w:rsidR="00C7046B" w:rsidRPr="00A1753C">
        <w:rPr>
          <w:lang w:val="en-US"/>
        </w:rPr>
        <w:t xml:space="preserve">Colombia, </w:t>
      </w:r>
      <w:r w:rsidR="0020526D" w:rsidRPr="00A1753C">
        <w:rPr>
          <w:lang w:val="en-US"/>
        </w:rPr>
        <w:t>Côte d’Ivoire</w:t>
      </w:r>
      <w:r w:rsidR="00C7046B" w:rsidRPr="00A1753C">
        <w:rPr>
          <w:lang w:val="en-US"/>
        </w:rPr>
        <w:t xml:space="preserve"> and</w:t>
      </w:r>
      <w:r w:rsidR="0020526D" w:rsidRPr="00A1753C">
        <w:rPr>
          <w:lang w:val="en-US"/>
        </w:rPr>
        <w:t xml:space="preserve"> Niger</w:t>
      </w:r>
      <w:r w:rsidR="00FA7986">
        <w:rPr>
          <w:lang w:val="en-US"/>
        </w:rPr>
        <w:t xml:space="preserve"> (</w:t>
      </w:r>
      <w:r w:rsidR="00FA7986" w:rsidRPr="00A1753C">
        <w:rPr>
          <w:lang w:val="en-US"/>
        </w:rPr>
        <w:t xml:space="preserve">document </w:t>
      </w:r>
      <w:hyperlink r:id="rId20" w:history="1">
        <w:r w:rsidR="00FA7986" w:rsidRPr="002B6112">
          <w:rPr>
            <w:rStyle w:val="Hyperlink"/>
          </w:rPr>
          <w:t>ITH/1</w:t>
        </w:r>
        <w:r w:rsidR="002B6112" w:rsidRPr="002B6112">
          <w:rPr>
            <w:rStyle w:val="Hyperlink"/>
          </w:rPr>
          <w:t>8</w:t>
        </w:r>
        <w:r w:rsidR="00FA7986" w:rsidRPr="002B6112">
          <w:rPr>
            <w:rStyle w:val="Hyperlink"/>
          </w:rPr>
          <w:t>/13.COM/1</w:t>
        </w:r>
        <w:r w:rsidR="0061195B" w:rsidRPr="002B6112">
          <w:rPr>
            <w:rStyle w:val="Hyperlink"/>
          </w:rPr>
          <w:t>1</w:t>
        </w:r>
      </w:hyperlink>
      <w:r w:rsidR="00FA7986" w:rsidRPr="002B6112">
        <w:rPr>
          <w:rStyle w:val="Hyperlink"/>
          <w:color w:val="auto"/>
          <w:u w:val="none"/>
        </w:rPr>
        <w:t>)</w:t>
      </w:r>
      <w:r w:rsidR="008D60E5" w:rsidRPr="002B6112">
        <w:rPr>
          <w:lang w:val="en-US"/>
        </w:rPr>
        <w:t>.</w:t>
      </w:r>
    </w:p>
    <w:p w14:paraId="3CEE51FC" w14:textId="04BE81EC" w:rsidR="005A2C03" w:rsidRPr="00FC3C29" w:rsidRDefault="00ED5697" w:rsidP="005A2C03">
      <w:pPr>
        <w:pStyle w:val="COMPara"/>
        <w:ind w:left="567" w:hanging="567"/>
        <w:jc w:val="both"/>
      </w:pPr>
      <w:r w:rsidRPr="00ED5697">
        <w:rPr>
          <w:b/>
        </w:rPr>
        <w:t xml:space="preserve">Intangible </w:t>
      </w:r>
      <w:r w:rsidR="001F0C27">
        <w:rPr>
          <w:b/>
        </w:rPr>
        <w:t>c</w:t>
      </w:r>
      <w:r w:rsidR="001F0C27" w:rsidRPr="00ED5697">
        <w:rPr>
          <w:b/>
        </w:rPr>
        <w:t xml:space="preserve">ultural </w:t>
      </w:r>
      <w:r w:rsidR="001F0C27">
        <w:rPr>
          <w:b/>
        </w:rPr>
        <w:t>h</w:t>
      </w:r>
      <w:r w:rsidR="001F0C27" w:rsidRPr="00ED5697">
        <w:rPr>
          <w:b/>
        </w:rPr>
        <w:t xml:space="preserve">eritage </w:t>
      </w:r>
      <w:r w:rsidRPr="00ED5697">
        <w:rPr>
          <w:b/>
        </w:rPr>
        <w:t xml:space="preserve">in </w:t>
      </w:r>
      <w:r w:rsidR="001F0C27">
        <w:rPr>
          <w:b/>
        </w:rPr>
        <w:t>u</w:t>
      </w:r>
      <w:r w:rsidR="001F0C27" w:rsidRPr="00ED5697">
        <w:rPr>
          <w:b/>
        </w:rPr>
        <w:t xml:space="preserve">rban </w:t>
      </w:r>
      <w:r w:rsidRPr="00ED5697">
        <w:rPr>
          <w:b/>
        </w:rPr>
        <w:t>contexts</w:t>
      </w:r>
      <w:r>
        <w:t xml:space="preserve">: </w:t>
      </w:r>
      <w:r w:rsidR="00FC3C29">
        <w:t xml:space="preserve">In May 2018, the Culture Sector began implementing a multi-year </w:t>
      </w:r>
      <w:proofErr w:type="spellStart"/>
      <w:r w:rsidR="00FC3C29">
        <w:t>extrabudgetary</w:t>
      </w:r>
      <w:proofErr w:type="spellEnd"/>
      <w:r w:rsidR="00FC3C29">
        <w:t xml:space="preserve"> project, ‘Intangible Heritage and Creativity for Sustainable Cities’, funded by Yong Xin Hua Yun Cultural Industry Investment Co. Ltd (China).</w:t>
      </w:r>
      <w:r w:rsidR="00FC3C29">
        <w:rPr>
          <w:color w:val="000000"/>
        </w:rPr>
        <w:t xml:space="preserve"> The project will, amongst other objectives, focus on the importance of identifying and safeguarding intangible cultural heritage in</w:t>
      </w:r>
      <w:r w:rsidR="000138AC">
        <w:rPr>
          <w:color w:val="000000"/>
        </w:rPr>
        <w:t xml:space="preserve"> an</w:t>
      </w:r>
      <w:r w:rsidR="00FC3C29">
        <w:rPr>
          <w:color w:val="000000"/>
        </w:rPr>
        <w:t xml:space="preserve"> urban context. </w:t>
      </w:r>
      <w:r w:rsidR="00FC3C29" w:rsidRPr="00FF6472">
        <w:rPr>
          <w:color w:val="000000"/>
        </w:rPr>
        <w:t>In that regard</w:t>
      </w:r>
      <w:r w:rsidR="00FC3C29">
        <w:rPr>
          <w:color w:val="000000"/>
        </w:rPr>
        <w:t>,</w:t>
      </w:r>
      <w:r w:rsidR="00FC3C29" w:rsidRPr="00FF6472">
        <w:rPr>
          <w:color w:val="000000"/>
        </w:rPr>
        <w:t xml:space="preserve"> the project will cover training on </w:t>
      </w:r>
      <w:r w:rsidR="00FC3C29" w:rsidRPr="00FF6472">
        <w:t>community-based inventorying</w:t>
      </w:r>
      <w:r w:rsidR="00FC3C29">
        <w:rPr>
          <w:color w:val="000000"/>
        </w:rPr>
        <w:t xml:space="preserve"> and the development of pilot</w:t>
      </w:r>
      <w:r w:rsidR="00FC3C29" w:rsidRPr="00FF6472">
        <w:rPr>
          <w:color w:val="000000"/>
        </w:rPr>
        <w:t xml:space="preserve"> inventories </w:t>
      </w:r>
      <w:r w:rsidR="00FC3C29" w:rsidRPr="00FF6472">
        <w:t xml:space="preserve">in </w:t>
      </w:r>
      <w:r w:rsidR="00FC3C29" w:rsidRPr="00FF6472">
        <w:lastRenderedPageBreak/>
        <w:t xml:space="preserve">nine cities over three years. Three pilot cities </w:t>
      </w:r>
      <w:proofErr w:type="gramStart"/>
      <w:r w:rsidR="00FC3C29" w:rsidRPr="00FF6472">
        <w:t>have been identified</w:t>
      </w:r>
      <w:proofErr w:type="gramEnd"/>
      <w:r w:rsidR="00FC3C29" w:rsidRPr="00FF6472">
        <w:t xml:space="preserve"> for the </w:t>
      </w:r>
      <w:r w:rsidR="00FC3C29" w:rsidRPr="00FF6472">
        <w:rPr>
          <w:color w:val="000000"/>
        </w:rPr>
        <w:t>first year</w:t>
      </w:r>
      <w:r w:rsidR="00FC3C29" w:rsidRPr="00FF6472">
        <w:t xml:space="preserve"> of the project, namely Kingston in Jamaica, George Town in Malaysia, and Harare in Zimbabwe.</w:t>
      </w:r>
    </w:p>
    <w:p w14:paraId="3C3739ED" w14:textId="4F8EB8DB" w:rsidR="0020526D" w:rsidRDefault="0020526D" w:rsidP="0020526D">
      <w:pPr>
        <w:pStyle w:val="COMPara"/>
        <w:numPr>
          <w:ilvl w:val="0"/>
          <w:numId w:val="0"/>
        </w:numPr>
        <w:spacing w:before="360"/>
        <w:ind w:left="567" w:hanging="567"/>
        <w:jc w:val="both"/>
        <w:rPr>
          <w:b/>
        </w:rPr>
      </w:pPr>
      <w:r w:rsidRPr="00FF1667">
        <w:rPr>
          <w:b/>
        </w:rPr>
        <w:t>II</w:t>
      </w:r>
      <w:r>
        <w:rPr>
          <w:b/>
        </w:rPr>
        <w:t>I</w:t>
      </w:r>
      <w:r w:rsidRPr="00FF1667">
        <w:rPr>
          <w:b/>
        </w:rPr>
        <w:t>.</w:t>
      </w:r>
      <w:r w:rsidRPr="00FF1667">
        <w:rPr>
          <w:b/>
        </w:rPr>
        <w:tab/>
      </w:r>
      <w:r>
        <w:rPr>
          <w:b/>
        </w:rPr>
        <w:t>Key c</w:t>
      </w:r>
      <w:r w:rsidRPr="00FF1667">
        <w:rPr>
          <w:b/>
        </w:rPr>
        <w:t>hallenges</w:t>
      </w:r>
      <w:r>
        <w:rPr>
          <w:b/>
        </w:rPr>
        <w:t xml:space="preserve"> and ways forward</w:t>
      </w:r>
    </w:p>
    <w:p w14:paraId="75B4B9B1" w14:textId="204C1851" w:rsidR="0083490A" w:rsidRPr="00FC3C29" w:rsidRDefault="005120D0" w:rsidP="00584A41">
      <w:pPr>
        <w:pStyle w:val="COMPara"/>
        <w:ind w:left="567" w:hanging="567"/>
        <w:jc w:val="both"/>
      </w:pPr>
      <w:r>
        <w:t>T</w:t>
      </w:r>
      <w:r w:rsidR="00984929">
        <w:t xml:space="preserve">he </w:t>
      </w:r>
      <w:r w:rsidR="002827FA">
        <w:t xml:space="preserve">types </w:t>
      </w:r>
      <w:r w:rsidR="00984929">
        <w:t xml:space="preserve">and volume of </w:t>
      </w:r>
      <w:r w:rsidR="00AE41F3">
        <w:t xml:space="preserve">the </w:t>
      </w:r>
      <w:r>
        <w:t xml:space="preserve">reported </w:t>
      </w:r>
      <w:r w:rsidR="00984929">
        <w:t>activities</w:t>
      </w:r>
      <w:r>
        <w:t xml:space="preserve"> </w:t>
      </w:r>
      <w:r w:rsidR="00984929">
        <w:t xml:space="preserve">undertaken by the Secretariat </w:t>
      </w:r>
      <w:r w:rsidR="008361A4">
        <w:t>over</w:t>
      </w:r>
      <w:r w:rsidR="002053F8">
        <w:t xml:space="preserve"> a short reporting period</w:t>
      </w:r>
      <w:r w:rsidR="00984929">
        <w:t xml:space="preserve"> demonstrate that the Convention continues to</w:t>
      </w:r>
      <w:r w:rsidR="008B79CA">
        <w:t xml:space="preserve"> </w:t>
      </w:r>
      <w:r w:rsidR="001F0C27">
        <w:t>enjoy</w:t>
      </w:r>
      <w:r w:rsidR="001F0C27" w:rsidRPr="00EA2906">
        <w:t xml:space="preserve"> </w:t>
      </w:r>
      <w:r w:rsidR="008B79CA" w:rsidRPr="00EA2906">
        <w:t>steady</w:t>
      </w:r>
      <w:r w:rsidR="00984929" w:rsidRPr="00EA2906">
        <w:t xml:space="preserve"> grow</w:t>
      </w:r>
      <w:r w:rsidR="008B79CA" w:rsidRPr="00EA2906">
        <w:t>th</w:t>
      </w:r>
      <w:r w:rsidR="002827FA" w:rsidRPr="00EA2906">
        <w:t xml:space="preserve"> and </w:t>
      </w:r>
      <w:r w:rsidR="00D60F2F">
        <w:t xml:space="preserve">a </w:t>
      </w:r>
      <w:r w:rsidR="002827FA" w:rsidRPr="00EA2906">
        <w:t>broadening of its scope</w:t>
      </w:r>
      <w:r w:rsidR="00984929" w:rsidRPr="00EA2906">
        <w:t xml:space="preserve">. </w:t>
      </w:r>
      <w:r w:rsidR="00BA3014">
        <w:t>T</w:t>
      </w:r>
      <w:r w:rsidR="004862BF">
        <w:t xml:space="preserve">he </w:t>
      </w:r>
      <w:r w:rsidR="00D405C4">
        <w:t xml:space="preserve">Committee </w:t>
      </w:r>
      <w:r w:rsidR="004862BF">
        <w:t>has started</w:t>
      </w:r>
      <w:r w:rsidR="00BA3014">
        <w:t xml:space="preserve"> </w:t>
      </w:r>
      <w:r w:rsidR="00D405C4">
        <w:t xml:space="preserve">to engage </w:t>
      </w:r>
      <w:r w:rsidR="001F0C27">
        <w:t xml:space="preserve">in </w:t>
      </w:r>
      <w:r w:rsidR="00D405C4">
        <w:t xml:space="preserve">a number of </w:t>
      </w:r>
      <w:r w:rsidR="008361A4">
        <w:t>reflections</w:t>
      </w:r>
      <w:r w:rsidR="001F0C27">
        <w:t>,</w:t>
      </w:r>
      <w:r w:rsidR="008361A4">
        <w:t xml:space="preserve"> as signalled in </w:t>
      </w:r>
      <w:r w:rsidR="001F0C27">
        <w:t>this</w:t>
      </w:r>
      <w:r w:rsidR="008361A4">
        <w:t xml:space="preserve"> report. </w:t>
      </w:r>
      <w:r w:rsidR="0069302D">
        <w:t xml:space="preserve">New thematic </w:t>
      </w:r>
      <w:r w:rsidR="000138AC">
        <w:t xml:space="preserve">initiatives </w:t>
      </w:r>
      <w:r w:rsidR="008361A4">
        <w:t xml:space="preserve">launched recently </w:t>
      </w:r>
      <w:r w:rsidR="0069302D">
        <w:t>are an</w:t>
      </w:r>
      <w:r w:rsidR="00B46803">
        <w:t xml:space="preserve">other example of </w:t>
      </w:r>
      <w:r w:rsidR="00B701A8">
        <w:t xml:space="preserve">areas in which </w:t>
      </w:r>
      <w:r w:rsidR="00B46803">
        <w:t xml:space="preserve">the </w:t>
      </w:r>
      <w:r w:rsidR="008361A4">
        <w:t xml:space="preserve">development </w:t>
      </w:r>
      <w:r w:rsidR="00B46803">
        <w:t>of the Convention</w:t>
      </w:r>
      <w:r w:rsidR="00B701A8">
        <w:t xml:space="preserve"> takes </w:t>
      </w:r>
      <w:r w:rsidR="001F0C27">
        <w:t>place</w:t>
      </w:r>
      <w:r w:rsidR="0069302D">
        <w:t xml:space="preserve">. </w:t>
      </w:r>
      <w:r w:rsidR="00584A41">
        <w:t xml:space="preserve">Furthermore, </w:t>
      </w:r>
      <w:r w:rsidR="008361A4">
        <w:t xml:space="preserve">results-based </w:t>
      </w:r>
      <w:r w:rsidR="00584A41">
        <w:t xml:space="preserve">monitoring and </w:t>
      </w:r>
      <w:r w:rsidR="000138AC">
        <w:t xml:space="preserve">assessment </w:t>
      </w:r>
      <w:r w:rsidR="00584A41">
        <w:t xml:space="preserve">of the impact of the Convention became a reality with the adoption of the overall results framework for the Convention; the information </w:t>
      </w:r>
      <w:r w:rsidR="001F0C27">
        <w:t xml:space="preserve">that </w:t>
      </w:r>
      <w:proofErr w:type="gramStart"/>
      <w:r w:rsidR="001F0C27">
        <w:t>will be</w:t>
      </w:r>
      <w:r w:rsidR="00584A41">
        <w:t xml:space="preserve"> obtained</w:t>
      </w:r>
      <w:proofErr w:type="gramEnd"/>
      <w:r w:rsidR="00584A41">
        <w:t xml:space="preserve"> through that framework will further nourish </w:t>
      </w:r>
      <w:r w:rsidR="001F0C27">
        <w:t xml:space="preserve">such </w:t>
      </w:r>
      <w:r w:rsidR="00584A41">
        <w:t xml:space="preserve">reflections in the future. </w:t>
      </w:r>
      <w:r w:rsidR="00FC3C29" w:rsidRPr="00FF6472">
        <w:t>As the Convention grows, it must be able to continue to renew itself and adapt to a changing world</w:t>
      </w:r>
      <w:r w:rsidR="00FC3C29" w:rsidRPr="00FC3C29">
        <w:t>.</w:t>
      </w:r>
    </w:p>
    <w:p w14:paraId="4B627456" w14:textId="02DBE3A5" w:rsidR="00065351" w:rsidRDefault="004862BF" w:rsidP="00807942">
      <w:pPr>
        <w:pStyle w:val="COMPara"/>
        <w:ind w:left="567" w:hanging="567"/>
        <w:jc w:val="both"/>
      </w:pPr>
      <w:r>
        <w:t>Another angle to under</w:t>
      </w:r>
      <w:r w:rsidR="000C4B24">
        <w:t>stand</w:t>
      </w:r>
      <w:r>
        <w:t xml:space="preserve"> the </w:t>
      </w:r>
      <w:r w:rsidR="008361A4">
        <w:t xml:space="preserve">development of </w:t>
      </w:r>
      <w:r>
        <w:t xml:space="preserve">the Convention relates </w:t>
      </w:r>
      <w:r w:rsidR="000E1F03">
        <w:t>to the involvement of stakeholders</w:t>
      </w:r>
      <w:r w:rsidR="00E7012B">
        <w:t xml:space="preserve"> that continue to diversify. T</w:t>
      </w:r>
      <w:r w:rsidR="009A19E4">
        <w:t>hree ratifications (Kiribati, Singapo</w:t>
      </w:r>
      <w:r w:rsidR="00E7012B">
        <w:t xml:space="preserve">re and Solomon Islands) </w:t>
      </w:r>
      <w:proofErr w:type="gramStart"/>
      <w:r w:rsidR="00E7012B">
        <w:t>were received</w:t>
      </w:r>
      <w:proofErr w:type="gramEnd"/>
      <w:r w:rsidR="009A19E4">
        <w:t xml:space="preserve"> </w:t>
      </w:r>
      <w:r w:rsidR="001F0C27">
        <w:t xml:space="preserve">during </w:t>
      </w:r>
      <w:r w:rsidR="009A19E4">
        <w:t>the reporting period</w:t>
      </w:r>
      <w:r w:rsidR="00E7012B">
        <w:t>, bringing</w:t>
      </w:r>
      <w:r w:rsidR="009A19E4">
        <w:t xml:space="preserve"> </w:t>
      </w:r>
      <w:r w:rsidR="009A19E4" w:rsidRPr="00F41D50">
        <w:t xml:space="preserve">the total number </w:t>
      </w:r>
      <w:r w:rsidR="009A19E4">
        <w:t xml:space="preserve">of States Parties to </w:t>
      </w:r>
      <w:r w:rsidR="009A19E4" w:rsidRPr="003C0109">
        <w:t>17</w:t>
      </w:r>
      <w:r w:rsidR="002053F8">
        <w:t>8</w:t>
      </w:r>
      <w:r w:rsidR="001F0C27">
        <w:t>.</w:t>
      </w:r>
      <w:r w:rsidR="00E7012B">
        <w:t xml:space="preserve"> </w:t>
      </w:r>
      <w:r w:rsidR="001F0C27">
        <w:t xml:space="preserve">At </w:t>
      </w:r>
      <w:r w:rsidR="00E7012B">
        <w:t>the same time,</w:t>
      </w:r>
      <w:r w:rsidR="00807942">
        <w:t xml:space="preserve"> the Convention continues to </w:t>
      </w:r>
      <w:r w:rsidR="000138AC">
        <w:t xml:space="preserve">engage with </w:t>
      </w:r>
      <w:r w:rsidR="00B113C5">
        <w:t xml:space="preserve">an </w:t>
      </w:r>
      <w:r w:rsidR="008B79CA">
        <w:t>increasing</w:t>
      </w:r>
      <w:r w:rsidR="00E7012B">
        <w:t xml:space="preserve"> number of </w:t>
      </w:r>
      <w:r w:rsidR="00807942">
        <w:t xml:space="preserve">communities, </w:t>
      </w:r>
      <w:r w:rsidR="002827FA">
        <w:t xml:space="preserve">regional or </w:t>
      </w:r>
      <w:r w:rsidR="00807942">
        <w:t>national institutions, resear</w:t>
      </w:r>
      <w:r w:rsidR="00592A75">
        <w:t>ch centres,</w:t>
      </w:r>
      <w:r w:rsidR="00807942">
        <w:t xml:space="preserve"> NGOs, </w:t>
      </w:r>
      <w:r w:rsidR="00B113C5">
        <w:t xml:space="preserve">and </w:t>
      </w:r>
      <w:r w:rsidR="00807942">
        <w:t>expert-facilitators, amongst others.</w:t>
      </w:r>
      <w:r w:rsidR="00E7012B">
        <w:t xml:space="preserve"> </w:t>
      </w:r>
      <w:r w:rsidR="000F48E1">
        <w:t>T</w:t>
      </w:r>
      <w:r w:rsidR="00554348">
        <w:t xml:space="preserve">he Secretariat is acutely aware of the need to </w:t>
      </w:r>
      <w:r w:rsidR="00E7012B">
        <w:t>step up its effort</w:t>
      </w:r>
      <w:r w:rsidR="00B113C5">
        <w:t>s</w:t>
      </w:r>
      <w:r w:rsidR="00E7012B">
        <w:t xml:space="preserve"> to</w:t>
      </w:r>
      <w:r w:rsidR="00E5296D" w:rsidRPr="00E5296D">
        <w:rPr>
          <w:rFonts w:eastAsia="SimSun"/>
          <w:lang w:eastAsia="fr-FR"/>
        </w:rPr>
        <w:t xml:space="preserve"> </w:t>
      </w:r>
      <w:r w:rsidR="00E5296D" w:rsidRPr="00E23FDE">
        <w:rPr>
          <w:rFonts w:eastAsia="SimSun"/>
          <w:lang w:eastAsia="fr-FR"/>
        </w:rPr>
        <w:t>support States Parties</w:t>
      </w:r>
      <w:r w:rsidR="00E5296D">
        <w:rPr>
          <w:rFonts w:eastAsia="SimSun"/>
          <w:lang w:eastAsia="fr-FR"/>
        </w:rPr>
        <w:t xml:space="preserve"> and other actors</w:t>
      </w:r>
      <w:r w:rsidR="00E5296D" w:rsidRPr="00E23FDE">
        <w:rPr>
          <w:rFonts w:eastAsia="SimSun"/>
          <w:lang w:eastAsia="fr-FR"/>
        </w:rPr>
        <w:t xml:space="preserve"> in their </w:t>
      </w:r>
      <w:r w:rsidR="00E5296D">
        <w:rPr>
          <w:rFonts w:eastAsia="SimSun"/>
          <w:lang w:eastAsia="fr-FR"/>
        </w:rPr>
        <w:t xml:space="preserve">initiatives to enhance knowledge and understanding of the Convention; </w:t>
      </w:r>
      <w:r w:rsidR="00E5296D" w:rsidRPr="00FE4068">
        <w:rPr>
          <w:lang w:val="en-US"/>
        </w:rPr>
        <w:t>giving a direct voice to communities</w:t>
      </w:r>
      <w:r w:rsidR="006B0F7B">
        <w:rPr>
          <w:lang w:val="en-US"/>
        </w:rPr>
        <w:t xml:space="preserve"> is </w:t>
      </w:r>
      <w:r w:rsidR="007A6C67">
        <w:rPr>
          <w:lang w:val="en-US"/>
        </w:rPr>
        <w:t xml:space="preserve">of </w:t>
      </w:r>
      <w:r w:rsidR="006B0F7B">
        <w:rPr>
          <w:lang w:val="en-US"/>
        </w:rPr>
        <w:t>particular importan</w:t>
      </w:r>
      <w:r w:rsidR="007A6C67">
        <w:rPr>
          <w:lang w:val="en-US"/>
        </w:rPr>
        <w:t>ce</w:t>
      </w:r>
      <w:r w:rsidR="00E5296D" w:rsidRPr="00FE4068">
        <w:rPr>
          <w:lang w:val="en-US"/>
        </w:rPr>
        <w:t xml:space="preserve"> </w:t>
      </w:r>
      <w:r w:rsidR="006B0F7B">
        <w:rPr>
          <w:lang w:val="en-US"/>
        </w:rPr>
        <w:t>in this endeavor</w:t>
      </w:r>
      <w:r w:rsidR="00E5296D">
        <w:rPr>
          <w:lang w:val="en-US"/>
        </w:rPr>
        <w:t>.</w:t>
      </w:r>
    </w:p>
    <w:p w14:paraId="2F5A003B" w14:textId="48B8EEC2" w:rsidR="00F30275" w:rsidRDefault="00F30275" w:rsidP="00FB5EDC">
      <w:pPr>
        <w:pStyle w:val="COMPara"/>
        <w:ind w:left="567" w:hanging="567"/>
        <w:jc w:val="both"/>
      </w:pPr>
      <w:r>
        <w:t xml:space="preserve">Operationally, the demand for the global capacity-building programme continues to grow and the Secretariat feels that the time has come to think seriously and creatively about scenarios to sustain the programme in the long term. Financial sustainability </w:t>
      </w:r>
      <w:proofErr w:type="gramStart"/>
      <w:r>
        <w:t>must be sought</w:t>
      </w:r>
      <w:proofErr w:type="gramEnd"/>
      <w:r>
        <w:t xml:space="preserve"> if States wish to see the programme continue and expand, as funding support has suffered an alarming decline over the last few years. In the longer term, institutional partnerships might provide innovative opportunities as a way forward to allow for a continued expansion of the programme, also taking into account the positive experience of collaborating with category 2 centres. To this end, a feasibility study </w:t>
      </w:r>
      <w:proofErr w:type="gramStart"/>
      <w:r>
        <w:t>is planned</w:t>
      </w:r>
      <w:proofErr w:type="gramEnd"/>
      <w:r>
        <w:t xml:space="preserve"> to explore potential partnerships and partnership modalities. </w:t>
      </w:r>
      <w:r>
        <w:rPr>
          <w:lang w:eastAsia="ko-KR"/>
        </w:rPr>
        <w:t>It is worth noting that an increasing number of International Assistance requests include a capacity-building component, building on the global capacity-building programme.</w:t>
      </w:r>
      <w:r>
        <w:t xml:space="preserve"> Moreover, by now most regions have a core group of competent facilitators in the field of intangible cultural heritage</w:t>
      </w:r>
      <w:r w:rsidR="000138AC">
        <w:t>,</w:t>
      </w:r>
      <w:r>
        <w:t xml:space="preserve"> which should allow for the development of national networks of trainers and the establishment of country-specific capacity-building mechanisms. However, the context of each region has to be analysed carefully, </w:t>
      </w:r>
      <w:r w:rsidR="000138AC">
        <w:t xml:space="preserve">as </w:t>
      </w:r>
      <w:r>
        <w:t xml:space="preserve">the possibilities to support countries in their capacity-building efforts vary from region to region. In this respect, the </w:t>
      </w:r>
      <w:r w:rsidR="000138AC">
        <w:t xml:space="preserve">persistent </w:t>
      </w:r>
      <w:r>
        <w:t xml:space="preserve">need for more facilitators in some regions, notably in the Arab States, still needs to </w:t>
      </w:r>
      <w:proofErr w:type="gramStart"/>
      <w:r>
        <w:t>be addressed</w:t>
      </w:r>
      <w:proofErr w:type="gramEnd"/>
      <w:r>
        <w:t>.</w:t>
      </w:r>
    </w:p>
    <w:p w14:paraId="0C49C1BD" w14:textId="421D2281" w:rsidR="00B54EAE" w:rsidRPr="00CD7BFB" w:rsidRDefault="00B54EAE" w:rsidP="002B6112">
      <w:pPr>
        <w:pStyle w:val="COMPara"/>
        <w:ind w:left="567" w:hanging="567"/>
        <w:jc w:val="both"/>
      </w:pPr>
      <w:r>
        <w:t xml:space="preserve">In terms of the human resources, the Secretariat </w:t>
      </w:r>
      <w:proofErr w:type="gramStart"/>
      <w:r>
        <w:t>will be reinforced</w:t>
      </w:r>
      <w:proofErr w:type="gramEnd"/>
      <w:r>
        <w:t xml:space="preserve"> by the creation of three </w:t>
      </w:r>
      <w:proofErr w:type="spellStart"/>
      <w:r>
        <w:t>extrabudgetary</w:t>
      </w:r>
      <w:proofErr w:type="spellEnd"/>
      <w:r>
        <w:t xml:space="preserve"> fixed-term </w:t>
      </w:r>
      <w:r w:rsidR="000138AC">
        <w:t xml:space="preserve">posts </w:t>
      </w:r>
      <w:r>
        <w:t xml:space="preserve">when the recruitment will have been completed. </w:t>
      </w:r>
      <w:r w:rsidR="000138AC">
        <w:t>T</w:t>
      </w:r>
      <w:r>
        <w:t xml:space="preserve">he Secretariat </w:t>
      </w:r>
      <w:r w:rsidR="000138AC">
        <w:t xml:space="preserve">also </w:t>
      </w:r>
      <w:r w:rsidRPr="00E0623A">
        <w:t>continue</w:t>
      </w:r>
      <w:r w:rsidR="00E0623A" w:rsidRPr="00E0623A">
        <w:t>s</w:t>
      </w:r>
      <w:r>
        <w:t xml:space="preserve"> to benefit from secondments from China (since 2014) and Japan (</w:t>
      </w:r>
      <w:r w:rsidRPr="00B54EAE">
        <w:t xml:space="preserve">between </w:t>
      </w:r>
      <w:r>
        <w:rPr>
          <w:color w:val="000000"/>
        </w:rPr>
        <w:t xml:space="preserve">March </w:t>
      </w:r>
      <w:r>
        <w:t xml:space="preserve">2015 and </w:t>
      </w:r>
      <w:r>
        <w:rPr>
          <w:color w:val="000000"/>
        </w:rPr>
        <w:t xml:space="preserve">April </w:t>
      </w:r>
      <w:r>
        <w:t>2018)</w:t>
      </w:r>
      <w:r w:rsidR="000138AC">
        <w:t>.</w:t>
      </w:r>
      <w:r>
        <w:t xml:space="preserve"> </w:t>
      </w:r>
      <w:r w:rsidR="000138AC">
        <w:t>C</w:t>
      </w:r>
      <w:r>
        <w:t xml:space="preserve">ontributions </w:t>
      </w:r>
      <w:proofErr w:type="gramStart"/>
      <w:r>
        <w:t>have been received</w:t>
      </w:r>
      <w:proofErr w:type="gramEnd"/>
      <w:r>
        <w:t xml:space="preserve"> from China, Montenegro and Finland to the sub-</w:t>
      </w:r>
      <w:r w:rsidR="00CD7BFB">
        <w:t>f</w:t>
      </w:r>
      <w:r>
        <w:t>und. While the Secretariat gratefully acknowledges the help received, the level of support is far from meeting the target established by the governing bodies of the Convention, estimated at US$1,100,000 per year (</w:t>
      </w:r>
      <w:hyperlink r:id="rId21" w:history="1">
        <w:r w:rsidR="00FB5EDC">
          <w:rPr>
            <w:rStyle w:val="Hyperlink"/>
          </w:rPr>
          <w:t>Resolution 3</w:t>
        </w:r>
        <w:r>
          <w:rPr>
            <w:rStyle w:val="Hyperlink"/>
          </w:rPr>
          <w:t>.GA</w:t>
        </w:r>
        <w:r w:rsidR="002B6112">
          <w:rPr>
            <w:rStyle w:val="Hyperlink"/>
          </w:rPr>
          <w:t> </w:t>
        </w:r>
        <w:r>
          <w:rPr>
            <w:rStyle w:val="Hyperlink"/>
          </w:rPr>
          <w:t>9</w:t>
        </w:r>
      </w:hyperlink>
      <w:r>
        <w:t>). The Secretariat</w:t>
      </w:r>
      <w:r w:rsidR="000138AC">
        <w:t xml:space="preserve"> </w:t>
      </w:r>
      <w:r w:rsidR="00E0623A">
        <w:t>still relies</w:t>
      </w:r>
      <w:r w:rsidR="0061195B">
        <w:t xml:space="preserve"> mainly</w:t>
      </w:r>
      <w:r w:rsidR="000138AC">
        <w:t xml:space="preserve"> on temporary staff:</w:t>
      </w:r>
      <w:r>
        <w:t xml:space="preserve"> out of </w:t>
      </w:r>
      <w:r w:rsidR="00CD7BFB">
        <w:t>twenty-seven</w:t>
      </w:r>
      <w:r>
        <w:t xml:space="preserve"> employees currently serving the </w:t>
      </w:r>
      <w:r w:rsidR="000138AC">
        <w:t>S</w:t>
      </w:r>
      <w:r>
        <w:t xml:space="preserve">ection with various contractual status, only </w:t>
      </w:r>
      <w:r w:rsidR="00CD7BFB">
        <w:t>twelve</w:t>
      </w:r>
      <w:r>
        <w:t xml:space="preserve"> hold fixed-term positions. </w:t>
      </w:r>
      <w:r w:rsidRPr="006B688A">
        <w:t xml:space="preserve">The aforementioned three new posts </w:t>
      </w:r>
      <w:proofErr w:type="gramStart"/>
      <w:r w:rsidRPr="006B688A">
        <w:t>will be entrusted</w:t>
      </w:r>
      <w:proofErr w:type="gramEnd"/>
      <w:r w:rsidRPr="006B688A">
        <w:t xml:space="preserve"> with additional tasks that have not been executed by the Secretariat until now in order to </w:t>
      </w:r>
      <w:r w:rsidRPr="006B688A">
        <w:rPr>
          <w:color w:val="000000"/>
        </w:rPr>
        <w:t xml:space="preserve">further </w:t>
      </w:r>
      <w:r w:rsidRPr="006B688A">
        <w:t xml:space="preserve">operationalise the International Assistance mechanism of the Intangible Cultural Heritage Fund. This means that the current workload for the rest of the team remains unchanged. In light of this situation, the ability of the Secretariat to accommodate further expansions and development of the Convention </w:t>
      </w:r>
      <w:r w:rsidR="00414E27" w:rsidRPr="00E0623A">
        <w:t>continues</w:t>
      </w:r>
      <w:r w:rsidR="00414E27" w:rsidRPr="006B688A">
        <w:t xml:space="preserve"> to be </w:t>
      </w:r>
      <w:r w:rsidRPr="006B688A">
        <w:t>limited.</w:t>
      </w:r>
    </w:p>
    <w:p w14:paraId="22C94FE8" w14:textId="77777777" w:rsidR="00D95C4C" w:rsidRPr="00EA528C" w:rsidRDefault="000B1C8F" w:rsidP="006B688A">
      <w:pPr>
        <w:pStyle w:val="COMPara"/>
        <w:keepNext/>
        <w:tabs>
          <w:tab w:val="left" w:pos="8789"/>
        </w:tabs>
        <w:ind w:left="567" w:hanging="567"/>
        <w:jc w:val="both"/>
      </w:pPr>
      <w:r w:rsidRPr="000B1C8F">
        <w:lastRenderedPageBreak/>
        <w:t xml:space="preserve">The Committee may wish </w:t>
      </w:r>
      <w:r>
        <w:t>to adopt the following decision</w:t>
      </w:r>
      <w:r w:rsidR="00D95C4C" w:rsidRPr="00EA528C">
        <w:t>:</w:t>
      </w:r>
    </w:p>
    <w:p w14:paraId="200B4F19" w14:textId="77777777" w:rsidR="00D95C4C" w:rsidRPr="00FD624F" w:rsidRDefault="004A34A0" w:rsidP="001D14FE">
      <w:pPr>
        <w:pStyle w:val="COMTitleDecision"/>
        <w:rPr>
          <w:rFonts w:eastAsia="SimSun"/>
        </w:rPr>
      </w:pPr>
      <w:r>
        <w:t xml:space="preserve">DRAFT </w:t>
      </w:r>
      <w:r w:rsidR="00CB0542">
        <w:t>DECISION 1</w:t>
      </w:r>
      <w:r w:rsidR="001D14FE">
        <w:t>3</w:t>
      </w:r>
      <w:r w:rsidR="00EC6F8D">
        <w:t>.COM</w:t>
      </w:r>
      <w:r w:rsidR="00D95C4C" w:rsidRPr="00FD624F">
        <w:t xml:space="preserve"> </w:t>
      </w:r>
      <w:r w:rsidR="000F463B">
        <w:t>5</w:t>
      </w:r>
    </w:p>
    <w:p w14:paraId="6CE6476C" w14:textId="77777777" w:rsidR="00D95C4C" w:rsidRPr="00285BB4" w:rsidRDefault="00285BB4" w:rsidP="00285BB4">
      <w:pPr>
        <w:pStyle w:val="COMPreambulaDecisions"/>
        <w:rPr>
          <w:rFonts w:eastAsia="SimSun"/>
        </w:rPr>
      </w:pPr>
      <w:r w:rsidRPr="00285BB4">
        <w:t>The Committee,</w:t>
      </w:r>
    </w:p>
    <w:p w14:paraId="594EF62A" w14:textId="44DBF4E4" w:rsidR="000F463B" w:rsidRPr="00EA5393" w:rsidRDefault="000F463B" w:rsidP="00513A26">
      <w:pPr>
        <w:pStyle w:val="COMParaDecision"/>
        <w:ind w:left="1134" w:hanging="567"/>
      </w:pPr>
      <w:r w:rsidRPr="00EA5393">
        <w:t>Having examined</w:t>
      </w:r>
      <w:r w:rsidRPr="00EA5393">
        <w:rPr>
          <w:u w:val="none"/>
        </w:rPr>
        <w:t xml:space="preserve"> document </w:t>
      </w:r>
      <w:r w:rsidRPr="00EA5393">
        <w:rPr>
          <w:rFonts w:eastAsia="Times New Roman"/>
          <w:snapToGrid w:val="0"/>
          <w:u w:val="none"/>
          <w:lang w:val="en-US" w:eastAsia="en-US"/>
        </w:rPr>
        <w:t>ITH/18/13.COM/5</w:t>
      </w:r>
      <w:r w:rsidR="00F51347" w:rsidRPr="00EA5393">
        <w:rPr>
          <w:rFonts w:eastAsia="Times New Roman"/>
          <w:snapToGrid w:val="0"/>
          <w:u w:val="none"/>
          <w:lang w:val="en-US" w:eastAsia="en-US"/>
        </w:rPr>
        <w:t xml:space="preserve"> as well as documents</w:t>
      </w:r>
      <w:r w:rsidR="00F51347" w:rsidRPr="00EA5393">
        <w:rPr>
          <w:color w:val="0000FF"/>
          <w:u w:val="none"/>
        </w:rPr>
        <w:t xml:space="preserve"> </w:t>
      </w:r>
      <w:hyperlink r:id="rId22" w:history="1">
        <w:r w:rsidR="00F51347" w:rsidRPr="00EA5393">
          <w:rPr>
            <w:rStyle w:val="Hyperlink"/>
            <w:rFonts w:eastAsiaTheme="minorEastAsia"/>
            <w:iCs/>
            <w:lang w:eastAsia="ko-KR"/>
          </w:rPr>
          <w:t>ITH/18/13.COM/INF.5.1</w:t>
        </w:r>
      </w:hyperlink>
      <w:r w:rsidR="00F51347" w:rsidRPr="00EA5393">
        <w:rPr>
          <w:rFonts w:eastAsiaTheme="minorEastAsia"/>
          <w:iCs/>
          <w:u w:val="none"/>
          <w:lang w:eastAsia="ko-KR"/>
        </w:rPr>
        <w:t xml:space="preserve">, </w:t>
      </w:r>
      <w:hyperlink r:id="rId23" w:history="1">
        <w:r w:rsidR="00F51347" w:rsidRPr="00EA5393">
          <w:rPr>
            <w:rStyle w:val="Hyperlink"/>
            <w:rFonts w:eastAsiaTheme="minorEastAsia"/>
            <w:iCs/>
            <w:lang w:eastAsia="ko-KR"/>
          </w:rPr>
          <w:t>ITH/18/13.COM/INF.5.2</w:t>
        </w:r>
      </w:hyperlink>
      <w:r w:rsidR="00F51347" w:rsidRPr="00EA5393">
        <w:rPr>
          <w:u w:val="none"/>
        </w:rPr>
        <w:t xml:space="preserve"> and </w:t>
      </w:r>
      <w:hyperlink r:id="rId24" w:history="1">
        <w:r w:rsidR="00F51347" w:rsidRPr="00EA5393">
          <w:rPr>
            <w:rStyle w:val="Hyperlink"/>
            <w:rFonts w:eastAsiaTheme="minorEastAsia"/>
            <w:iCs/>
            <w:lang w:eastAsia="ko-KR"/>
          </w:rPr>
          <w:t>ITH/18/13.COM/INF.5.3</w:t>
        </w:r>
      </w:hyperlink>
      <w:r w:rsidR="00B113C5" w:rsidRPr="00EA5393">
        <w:rPr>
          <w:rFonts w:eastAsiaTheme="minorEastAsia"/>
          <w:iCs/>
          <w:u w:val="none"/>
          <w:lang w:eastAsia="ko-KR"/>
        </w:rPr>
        <w:t>,</w:t>
      </w:r>
    </w:p>
    <w:p w14:paraId="454693E1" w14:textId="388BC0B3" w:rsidR="000F463B" w:rsidRPr="000F463B" w:rsidRDefault="000F463B" w:rsidP="00513A26">
      <w:pPr>
        <w:pStyle w:val="COMParaDecision"/>
        <w:ind w:left="1134" w:hanging="567"/>
        <w:rPr>
          <w:u w:val="none"/>
        </w:rPr>
      </w:pPr>
      <w:r w:rsidRPr="000F463B">
        <w:t>Welcomes</w:t>
      </w:r>
      <w:r w:rsidRPr="000F463B">
        <w:rPr>
          <w:u w:val="none"/>
        </w:rPr>
        <w:t xml:space="preserve"> the </w:t>
      </w:r>
      <w:r>
        <w:rPr>
          <w:u w:val="none"/>
        </w:rPr>
        <w:t>three</w:t>
      </w:r>
      <w:r w:rsidRPr="000F463B">
        <w:rPr>
          <w:u w:val="none"/>
        </w:rPr>
        <w:t xml:space="preserve"> States – Kiribati, Singapore and </w:t>
      </w:r>
      <w:r w:rsidR="00B113C5">
        <w:rPr>
          <w:u w:val="none"/>
        </w:rPr>
        <w:t xml:space="preserve">the </w:t>
      </w:r>
      <w:r w:rsidRPr="000F463B">
        <w:rPr>
          <w:u w:val="none"/>
        </w:rPr>
        <w:t>Solomon Islands – that ratified the Convention during the reporting period;</w:t>
      </w:r>
    </w:p>
    <w:p w14:paraId="3FA40AC9" w14:textId="3DA2B4FC" w:rsidR="000F463B" w:rsidRPr="00400B06" w:rsidRDefault="000F463B" w:rsidP="00513A26">
      <w:pPr>
        <w:pStyle w:val="COMParaDecision"/>
        <w:ind w:left="1134" w:hanging="567"/>
        <w:rPr>
          <w:u w:val="none"/>
        </w:rPr>
      </w:pPr>
      <w:r w:rsidRPr="00EB4030">
        <w:t>Commends</w:t>
      </w:r>
      <w:r w:rsidRPr="00400B06">
        <w:rPr>
          <w:u w:val="none"/>
        </w:rPr>
        <w:t xml:space="preserve"> the Secretariat for the support provided for the sound governance of the Convention and for the management of the Convention</w:t>
      </w:r>
      <w:r w:rsidR="000138AC">
        <w:rPr>
          <w:u w:val="none"/>
        </w:rPr>
        <w:t>’s mechanisms</w:t>
      </w:r>
      <w:r w:rsidRPr="00400B06">
        <w:rPr>
          <w:u w:val="none"/>
        </w:rPr>
        <w:t xml:space="preserve">, </w:t>
      </w:r>
      <w:r w:rsidR="00400B06">
        <w:rPr>
          <w:u w:val="none"/>
        </w:rPr>
        <w:t xml:space="preserve">and </w:t>
      </w:r>
      <w:r w:rsidR="00400B06" w:rsidRPr="00AA2823">
        <w:t>n</w:t>
      </w:r>
      <w:r w:rsidR="00400B06" w:rsidRPr="00400B06">
        <w:t>otes with satisfaction</w:t>
      </w:r>
      <w:r w:rsidR="00400B06" w:rsidRPr="00400B06">
        <w:rPr>
          <w:u w:val="none"/>
        </w:rPr>
        <w:t xml:space="preserve"> the </w:t>
      </w:r>
      <w:r w:rsidR="004C1981">
        <w:rPr>
          <w:u w:val="none"/>
        </w:rPr>
        <w:t>efforts made by the Secretariat</w:t>
      </w:r>
      <w:r w:rsidR="00400B06" w:rsidRPr="00400B06">
        <w:rPr>
          <w:u w:val="none"/>
        </w:rPr>
        <w:t xml:space="preserve"> to rol</w:t>
      </w:r>
      <w:r w:rsidR="00691C76">
        <w:rPr>
          <w:u w:val="none"/>
        </w:rPr>
        <w:t>l</w:t>
      </w:r>
      <w:r w:rsidR="00400B06" w:rsidRPr="00400B06">
        <w:rPr>
          <w:u w:val="none"/>
        </w:rPr>
        <w:t xml:space="preserve"> out the overall results framework </w:t>
      </w:r>
      <w:r w:rsidR="00400B06">
        <w:rPr>
          <w:u w:val="none"/>
        </w:rPr>
        <w:t xml:space="preserve">for the Convention </w:t>
      </w:r>
      <w:r w:rsidR="00400B06" w:rsidRPr="00400B06">
        <w:rPr>
          <w:u w:val="none"/>
        </w:rPr>
        <w:t xml:space="preserve">and </w:t>
      </w:r>
      <w:r w:rsidR="00691C76">
        <w:rPr>
          <w:u w:val="none"/>
        </w:rPr>
        <w:t xml:space="preserve">operationalize </w:t>
      </w:r>
      <w:r w:rsidR="00400B06" w:rsidRPr="00400B06">
        <w:rPr>
          <w:u w:val="none"/>
        </w:rPr>
        <w:t>the International Assistance portfolio of the Intangible Cultural Heritage Fund</w:t>
      </w:r>
      <w:r w:rsidRPr="00400B06">
        <w:rPr>
          <w:u w:val="none"/>
        </w:rPr>
        <w:t>;</w:t>
      </w:r>
    </w:p>
    <w:p w14:paraId="39CD850D" w14:textId="2605EF41" w:rsidR="00731B32" w:rsidRPr="00486032" w:rsidRDefault="000138AC" w:rsidP="0003604D">
      <w:pPr>
        <w:pStyle w:val="COMParaDecision"/>
        <w:ind w:left="1134" w:hanging="567"/>
        <w:rPr>
          <w:u w:val="none"/>
        </w:rPr>
      </w:pPr>
      <w:r>
        <w:t>W</w:t>
      </w:r>
      <w:r w:rsidR="00DE4B46" w:rsidRPr="008708AA">
        <w:t>elcomes</w:t>
      </w:r>
      <w:r w:rsidR="00DE4B46" w:rsidRPr="006B688A">
        <w:rPr>
          <w:u w:val="none"/>
        </w:rPr>
        <w:t xml:space="preserve"> </w:t>
      </w:r>
      <w:r w:rsidR="00DE4B46" w:rsidRPr="00486032">
        <w:rPr>
          <w:u w:val="none"/>
        </w:rPr>
        <w:t xml:space="preserve">the progress made in </w:t>
      </w:r>
      <w:r w:rsidR="004C1981">
        <w:rPr>
          <w:u w:val="none"/>
        </w:rPr>
        <w:t>enhancing</w:t>
      </w:r>
      <w:r w:rsidR="004C1981" w:rsidRPr="00486032">
        <w:rPr>
          <w:u w:val="none"/>
        </w:rPr>
        <w:t xml:space="preserve"> </w:t>
      </w:r>
      <w:r w:rsidR="00DE4B46" w:rsidRPr="00486032">
        <w:rPr>
          <w:u w:val="none"/>
        </w:rPr>
        <w:t xml:space="preserve">national capacities </w:t>
      </w:r>
      <w:r w:rsidR="00D60F2F">
        <w:rPr>
          <w:u w:val="none"/>
        </w:rPr>
        <w:t>to</w:t>
      </w:r>
      <w:r w:rsidR="00D60F2F" w:rsidRPr="00486032">
        <w:rPr>
          <w:u w:val="none"/>
        </w:rPr>
        <w:t xml:space="preserve"> </w:t>
      </w:r>
      <w:r w:rsidR="00DE4B46" w:rsidRPr="00486032">
        <w:rPr>
          <w:u w:val="none"/>
        </w:rPr>
        <w:t xml:space="preserve">safeguard intangible cultural heritage, </w:t>
      </w:r>
      <w:r w:rsidR="00786255" w:rsidRPr="008708AA">
        <w:rPr>
          <w:u w:val="none"/>
        </w:rPr>
        <w:t>including</w:t>
      </w:r>
      <w:r w:rsidR="00B113C5">
        <w:rPr>
          <w:u w:val="none"/>
        </w:rPr>
        <w:t xml:space="preserve"> by</w:t>
      </w:r>
      <w:r w:rsidR="00786255" w:rsidRPr="008708AA">
        <w:rPr>
          <w:u w:val="none"/>
        </w:rPr>
        <w:t xml:space="preserve"> </w:t>
      </w:r>
      <w:r w:rsidR="004C1981">
        <w:rPr>
          <w:u w:val="none"/>
        </w:rPr>
        <w:t>strengthening</w:t>
      </w:r>
      <w:r w:rsidR="00400B06">
        <w:rPr>
          <w:u w:val="none"/>
        </w:rPr>
        <w:t xml:space="preserve"> the global facilitators’ network</w:t>
      </w:r>
      <w:r w:rsidR="008C78B5">
        <w:rPr>
          <w:u w:val="none"/>
        </w:rPr>
        <w:t xml:space="preserve">, </w:t>
      </w:r>
      <w:r w:rsidR="008C78B5" w:rsidRPr="006B688A">
        <w:t>thanks</w:t>
      </w:r>
      <w:r w:rsidR="00786255" w:rsidRPr="0003604D">
        <w:rPr>
          <w:u w:val="none"/>
        </w:rPr>
        <w:t xml:space="preserve"> </w:t>
      </w:r>
      <w:r w:rsidR="00691C76" w:rsidRPr="006B688A">
        <w:rPr>
          <w:u w:val="none"/>
        </w:rPr>
        <w:t xml:space="preserve">the </w:t>
      </w:r>
      <w:r w:rsidR="00786255" w:rsidRPr="0003604D">
        <w:rPr>
          <w:u w:val="none"/>
        </w:rPr>
        <w:t>category 2 centres</w:t>
      </w:r>
      <w:r w:rsidR="008C78B5">
        <w:rPr>
          <w:u w:val="none"/>
        </w:rPr>
        <w:t xml:space="preserve"> for their collaboration</w:t>
      </w:r>
      <w:r w:rsidR="00786255" w:rsidRPr="008708AA">
        <w:rPr>
          <w:u w:val="none"/>
        </w:rPr>
        <w:t xml:space="preserve">, </w:t>
      </w:r>
      <w:r w:rsidR="00DE4B46" w:rsidRPr="00486032">
        <w:rPr>
          <w:u w:val="none"/>
        </w:rPr>
        <w:t xml:space="preserve">and </w:t>
      </w:r>
      <w:r w:rsidR="00EA7BD2" w:rsidRPr="008708AA">
        <w:t>e</w:t>
      </w:r>
      <w:r w:rsidR="008708AA">
        <w:t>ncourages</w:t>
      </w:r>
      <w:r w:rsidR="003E1836" w:rsidRPr="008708AA">
        <w:rPr>
          <w:u w:val="none"/>
        </w:rPr>
        <w:t xml:space="preserve"> </w:t>
      </w:r>
      <w:r w:rsidR="00DE4B46" w:rsidRPr="00486032">
        <w:rPr>
          <w:u w:val="none"/>
        </w:rPr>
        <w:t>States</w:t>
      </w:r>
      <w:r w:rsidR="003E1836" w:rsidRPr="008708AA">
        <w:rPr>
          <w:u w:val="none"/>
        </w:rPr>
        <w:t xml:space="preserve"> Parties</w:t>
      </w:r>
      <w:r w:rsidR="008708AA">
        <w:rPr>
          <w:u w:val="none"/>
        </w:rPr>
        <w:t>, as a next step</w:t>
      </w:r>
      <w:r w:rsidR="00B113C5">
        <w:rPr>
          <w:u w:val="none"/>
        </w:rPr>
        <w:t>,</w:t>
      </w:r>
      <w:r w:rsidR="00400B06">
        <w:rPr>
          <w:u w:val="none"/>
        </w:rPr>
        <w:t xml:space="preserve"> to ensure the sustainability of the programme</w:t>
      </w:r>
      <w:r w:rsidR="008708AA">
        <w:rPr>
          <w:u w:val="none"/>
        </w:rPr>
        <w:t xml:space="preserve"> </w:t>
      </w:r>
      <w:r w:rsidR="004C1981">
        <w:rPr>
          <w:u w:val="none"/>
        </w:rPr>
        <w:t xml:space="preserve">and </w:t>
      </w:r>
      <w:r w:rsidR="008708AA">
        <w:rPr>
          <w:u w:val="none"/>
        </w:rPr>
        <w:t xml:space="preserve">to </w:t>
      </w:r>
      <w:r w:rsidR="00400B06">
        <w:rPr>
          <w:u w:val="none"/>
        </w:rPr>
        <w:t xml:space="preserve">support the </w:t>
      </w:r>
      <w:r w:rsidR="00B113C5">
        <w:rPr>
          <w:u w:val="none"/>
        </w:rPr>
        <w:t xml:space="preserve">organization </w:t>
      </w:r>
      <w:r w:rsidR="00400B06">
        <w:rPr>
          <w:u w:val="none"/>
        </w:rPr>
        <w:t xml:space="preserve">of </w:t>
      </w:r>
      <w:r w:rsidR="00DE4B46" w:rsidRPr="00486032">
        <w:rPr>
          <w:u w:val="none"/>
        </w:rPr>
        <w:t xml:space="preserve">national </w:t>
      </w:r>
      <w:r w:rsidR="00A639FB">
        <w:rPr>
          <w:u w:val="none"/>
        </w:rPr>
        <w:t xml:space="preserve">networks of </w:t>
      </w:r>
      <w:r w:rsidR="00400B06">
        <w:rPr>
          <w:u w:val="none"/>
        </w:rPr>
        <w:t>train</w:t>
      </w:r>
      <w:r w:rsidR="00A639FB">
        <w:rPr>
          <w:u w:val="none"/>
        </w:rPr>
        <w:t>ers</w:t>
      </w:r>
      <w:r w:rsidR="00DE4B46" w:rsidRPr="00486032">
        <w:rPr>
          <w:u w:val="none"/>
        </w:rPr>
        <w:t xml:space="preserve"> with</w:t>
      </w:r>
      <w:r w:rsidR="00EA7BD2" w:rsidRPr="008708AA">
        <w:rPr>
          <w:u w:val="none"/>
        </w:rPr>
        <w:t>in their countries</w:t>
      </w:r>
      <w:r w:rsidR="00DE4B46" w:rsidRPr="00486032">
        <w:rPr>
          <w:u w:val="none"/>
        </w:rPr>
        <w:t>;</w:t>
      </w:r>
    </w:p>
    <w:p w14:paraId="67C892BA" w14:textId="11E50FDC" w:rsidR="007B31D0" w:rsidRDefault="00712F93">
      <w:pPr>
        <w:pStyle w:val="COMParaDecision"/>
        <w:ind w:left="1134" w:hanging="567"/>
        <w:rPr>
          <w:u w:val="none"/>
        </w:rPr>
      </w:pPr>
      <w:r w:rsidRPr="00486032">
        <w:t>T</w:t>
      </w:r>
      <w:r w:rsidR="003E1836" w:rsidRPr="00486032">
        <w:t>akes note</w:t>
      </w:r>
      <w:r w:rsidR="004C1981" w:rsidRPr="00986708">
        <w:rPr>
          <w:u w:val="none"/>
        </w:rPr>
        <w:t xml:space="preserve"> </w:t>
      </w:r>
      <w:r w:rsidR="003E1836" w:rsidRPr="00986708">
        <w:rPr>
          <w:u w:val="none"/>
        </w:rPr>
        <w:t xml:space="preserve">of the persisting shortage of facilitators </w:t>
      </w:r>
      <w:r w:rsidR="0088396D" w:rsidRPr="00986708">
        <w:rPr>
          <w:u w:val="none"/>
        </w:rPr>
        <w:t>in some regions</w:t>
      </w:r>
      <w:r w:rsidR="00AA77DE" w:rsidRPr="00986708">
        <w:rPr>
          <w:u w:val="none"/>
        </w:rPr>
        <w:t>,</w:t>
      </w:r>
      <w:r w:rsidR="0088396D" w:rsidRPr="00986708">
        <w:rPr>
          <w:u w:val="none"/>
        </w:rPr>
        <w:t xml:space="preserve"> and</w:t>
      </w:r>
      <w:r w:rsidR="00B20134" w:rsidRPr="00986708">
        <w:rPr>
          <w:u w:val="none"/>
        </w:rPr>
        <w:t xml:space="preserve"> the need for </w:t>
      </w:r>
      <w:r w:rsidR="008708AA" w:rsidRPr="00986708">
        <w:rPr>
          <w:u w:val="none"/>
        </w:rPr>
        <w:t xml:space="preserve">further </w:t>
      </w:r>
      <w:r w:rsidR="00B20134" w:rsidRPr="00986708">
        <w:rPr>
          <w:u w:val="none"/>
        </w:rPr>
        <w:t>training in new thematic areas result</w:t>
      </w:r>
      <w:r w:rsidR="00D60F2F" w:rsidRPr="00986708">
        <w:rPr>
          <w:u w:val="none"/>
        </w:rPr>
        <w:t>ing</w:t>
      </w:r>
      <w:r w:rsidR="00B20134" w:rsidRPr="00986708">
        <w:rPr>
          <w:u w:val="none"/>
        </w:rPr>
        <w:t xml:space="preserve"> from </w:t>
      </w:r>
      <w:r w:rsidR="008708AA" w:rsidRPr="00986708">
        <w:rPr>
          <w:u w:val="none"/>
        </w:rPr>
        <w:t>constantly</w:t>
      </w:r>
      <w:r w:rsidR="00B20134" w:rsidRPr="00986708">
        <w:rPr>
          <w:u w:val="none"/>
        </w:rPr>
        <w:t xml:space="preserve"> evolving capacity-building need</w:t>
      </w:r>
      <w:r w:rsidR="00B113C5" w:rsidRPr="00986708">
        <w:rPr>
          <w:u w:val="none"/>
        </w:rPr>
        <w:t>s, and</w:t>
      </w:r>
      <w:r w:rsidR="008708AA" w:rsidRPr="00986708">
        <w:rPr>
          <w:u w:val="none"/>
        </w:rPr>
        <w:t xml:space="preserve"> </w:t>
      </w:r>
      <w:r w:rsidRPr="00986708">
        <w:rPr>
          <w:u w:val="none"/>
        </w:rPr>
        <w:t>therefore</w:t>
      </w:r>
      <w:r w:rsidR="00EA7BD2" w:rsidRPr="00986708">
        <w:rPr>
          <w:u w:val="none"/>
        </w:rPr>
        <w:t xml:space="preserve"> </w:t>
      </w:r>
      <w:r w:rsidR="00070508">
        <w:t>calls</w:t>
      </w:r>
      <w:r w:rsidR="00070508" w:rsidRPr="00360418">
        <w:t xml:space="preserve"> on</w:t>
      </w:r>
      <w:r w:rsidR="00070508" w:rsidRPr="006B688A">
        <w:rPr>
          <w:u w:val="none"/>
        </w:rPr>
        <w:t xml:space="preserve"> </w:t>
      </w:r>
      <w:r w:rsidR="00AA77DE" w:rsidRPr="00986708">
        <w:rPr>
          <w:u w:val="none"/>
        </w:rPr>
        <w:t xml:space="preserve">States Parties </w:t>
      </w:r>
      <w:r w:rsidR="00B113C5" w:rsidRPr="00986708">
        <w:rPr>
          <w:u w:val="none"/>
        </w:rPr>
        <w:t xml:space="preserve">to </w:t>
      </w:r>
      <w:r w:rsidR="00AA77DE" w:rsidRPr="00986708">
        <w:rPr>
          <w:u w:val="none"/>
        </w:rPr>
        <w:t>host regional training workshops</w:t>
      </w:r>
      <w:r w:rsidR="00786255" w:rsidRPr="00986708">
        <w:rPr>
          <w:u w:val="none"/>
        </w:rPr>
        <w:t xml:space="preserve"> for facilitators</w:t>
      </w:r>
      <w:r w:rsidR="008708AA" w:rsidRPr="00986708">
        <w:rPr>
          <w:u w:val="none"/>
        </w:rPr>
        <w:t xml:space="preserve">, co-organized with </w:t>
      </w:r>
      <w:r w:rsidR="00B20134" w:rsidRPr="00986708">
        <w:rPr>
          <w:u w:val="none"/>
        </w:rPr>
        <w:t>the Secretariat</w:t>
      </w:r>
      <w:r w:rsidR="008708AA" w:rsidRPr="00986708">
        <w:rPr>
          <w:u w:val="none"/>
        </w:rPr>
        <w:t>,</w:t>
      </w:r>
      <w:r w:rsidR="00B20134" w:rsidRPr="00986708">
        <w:rPr>
          <w:u w:val="none"/>
        </w:rPr>
        <w:t xml:space="preserve"> </w:t>
      </w:r>
      <w:r w:rsidR="00AA77DE" w:rsidRPr="00986708">
        <w:rPr>
          <w:u w:val="none"/>
        </w:rPr>
        <w:t xml:space="preserve">to </w:t>
      </w:r>
      <w:r w:rsidR="00B20134" w:rsidRPr="00986708">
        <w:rPr>
          <w:u w:val="none"/>
        </w:rPr>
        <w:t xml:space="preserve">effectively </w:t>
      </w:r>
      <w:r w:rsidR="00AA77DE" w:rsidRPr="00986708">
        <w:rPr>
          <w:u w:val="none"/>
        </w:rPr>
        <w:t xml:space="preserve">strengthen and expand the </w:t>
      </w:r>
      <w:r w:rsidR="0088396D" w:rsidRPr="00986708">
        <w:rPr>
          <w:u w:val="none"/>
        </w:rPr>
        <w:t xml:space="preserve">regional network </w:t>
      </w:r>
      <w:r w:rsidR="0088396D" w:rsidRPr="009F295C">
        <w:rPr>
          <w:u w:val="none"/>
        </w:rPr>
        <w:t>chapters</w:t>
      </w:r>
      <w:r w:rsidR="007B31D0" w:rsidRPr="00986708">
        <w:rPr>
          <w:u w:val="none"/>
        </w:rPr>
        <w:t>;</w:t>
      </w:r>
    </w:p>
    <w:p w14:paraId="0AD18744" w14:textId="58DEA110" w:rsidR="00F36D65" w:rsidRPr="00F36D65" w:rsidRDefault="00F36D65">
      <w:pPr>
        <w:pStyle w:val="COMParaDecision"/>
        <w:ind w:left="1134" w:hanging="567"/>
        <w:rPr>
          <w:u w:val="none"/>
        </w:rPr>
      </w:pPr>
      <w:r w:rsidRPr="0003604D">
        <w:t>Expresses</w:t>
      </w:r>
      <w:r w:rsidRPr="006B688A">
        <w:t xml:space="preserve"> concern</w:t>
      </w:r>
      <w:r w:rsidRPr="00FF6472">
        <w:rPr>
          <w:u w:val="none"/>
        </w:rPr>
        <w:t xml:space="preserve"> regarding the continued decline</w:t>
      </w:r>
      <w:r w:rsidR="00691C76">
        <w:rPr>
          <w:u w:val="none"/>
        </w:rPr>
        <w:t xml:space="preserve"> in</w:t>
      </w:r>
      <w:r w:rsidRPr="00FF6472">
        <w:rPr>
          <w:u w:val="none"/>
        </w:rPr>
        <w:t xml:space="preserve"> extra-budgetary support for the implementation of the capacity-building programme and </w:t>
      </w:r>
      <w:r w:rsidRPr="00360418">
        <w:t>calls</w:t>
      </w:r>
      <w:r w:rsidRPr="00105121">
        <w:t xml:space="preserve"> on</w:t>
      </w:r>
      <w:r w:rsidRPr="00FF6472">
        <w:rPr>
          <w:u w:val="none"/>
        </w:rPr>
        <w:t xml:space="preserve"> States Parties to </w:t>
      </w:r>
      <w:r>
        <w:rPr>
          <w:u w:val="none"/>
        </w:rPr>
        <w:t xml:space="preserve">provide </w:t>
      </w:r>
      <w:r w:rsidRPr="00FF6472">
        <w:rPr>
          <w:u w:val="none"/>
        </w:rPr>
        <w:t xml:space="preserve">further </w:t>
      </w:r>
      <w:r>
        <w:rPr>
          <w:u w:val="none"/>
        </w:rPr>
        <w:t>resources</w:t>
      </w:r>
      <w:r w:rsidRPr="00FF6472">
        <w:rPr>
          <w:u w:val="none"/>
        </w:rPr>
        <w:t xml:space="preserve">, particularly in the form of </w:t>
      </w:r>
      <w:r w:rsidR="009F295C">
        <w:rPr>
          <w:u w:val="none"/>
        </w:rPr>
        <w:t>voluntary supplementary</w:t>
      </w:r>
      <w:r w:rsidR="009F295C" w:rsidRPr="0089284F">
        <w:rPr>
          <w:u w:val="none"/>
        </w:rPr>
        <w:t xml:space="preserve"> </w:t>
      </w:r>
      <w:r w:rsidRPr="00FF6472">
        <w:rPr>
          <w:u w:val="none"/>
        </w:rPr>
        <w:t>contributions to the Intangible Cultural Heritage Fund for operational projects;</w:t>
      </w:r>
    </w:p>
    <w:p w14:paraId="1B45D80C" w14:textId="44AD2B41" w:rsidR="001264B3" w:rsidRPr="006B688A" w:rsidRDefault="0003604D" w:rsidP="0003604D">
      <w:pPr>
        <w:pStyle w:val="COMParaDecision"/>
        <w:ind w:left="1134" w:hanging="567"/>
      </w:pPr>
      <w:r>
        <w:t>Also w</w:t>
      </w:r>
      <w:r w:rsidR="007B31D0" w:rsidRPr="00817369">
        <w:t>elcomes</w:t>
      </w:r>
      <w:r w:rsidR="007B31D0" w:rsidRPr="006B688A">
        <w:rPr>
          <w:u w:val="none"/>
        </w:rPr>
        <w:t xml:space="preserve"> </w:t>
      </w:r>
      <w:r w:rsidR="007B31D0" w:rsidRPr="00486032">
        <w:rPr>
          <w:u w:val="none"/>
        </w:rPr>
        <w:t xml:space="preserve">the </w:t>
      </w:r>
      <w:r w:rsidR="00DE314E">
        <w:rPr>
          <w:u w:val="none"/>
        </w:rPr>
        <w:t>progress made in advancing the</w:t>
      </w:r>
      <w:r w:rsidR="004C1981">
        <w:rPr>
          <w:u w:val="none"/>
        </w:rPr>
        <w:t xml:space="preserve"> implement</w:t>
      </w:r>
      <w:r w:rsidR="00DE314E">
        <w:rPr>
          <w:u w:val="none"/>
        </w:rPr>
        <w:t>ation of</w:t>
      </w:r>
      <w:r w:rsidR="004C1981">
        <w:rPr>
          <w:u w:val="none"/>
        </w:rPr>
        <w:t xml:space="preserve"> the new funding pr</w:t>
      </w:r>
      <w:r w:rsidR="005E506A">
        <w:rPr>
          <w:u w:val="none"/>
        </w:rPr>
        <w:t>iority</w:t>
      </w:r>
      <w:r w:rsidR="004C1981">
        <w:rPr>
          <w:u w:val="none"/>
        </w:rPr>
        <w:t xml:space="preserve"> as approved at the last session of the Committee concerning</w:t>
      </w:r>
      <w:r w:rsidR="00AE1699">
        <w:rPr>
          <w:u w:val="none"/>
        </w:rPr>
        <w:t xml:space="preserve"> the safeguarding and transmission of intangible</w:t>
      </w:r>
      <w:r w:rsidR="00B113C5">
        <w:rPr>
          <w:u w:val="none"/>
        </w:rPr>
        <w:t xml:space="preserve"> cultural heritage</w:t>
      </w:r>
      <w:r w:rsidR="00AE1699">
        <w:rPr>
          <w:u w:val="none"/>
        </w:rPr>
        <w:t xml:space="preserve"> </w:t>
      </w:r>
      <w:r w:rsidR="007B31D0" w:rsidRPr="00486032">
        <w:rPr>
          <w:u w:val="none"/>
        </w:rPr>
        <w:t>through formal and non-formal education</w:t>
      </w:r>
      <w:r w:rsidR="000138AC">
        <w:rPr>
          <w:u w:val="none"/>
        </w:rPr>
        <w:t xml:space="preserve">, and </w:t>
      </w:r>
      <w:r w:rsidR="000138AC" w:rsidRPr="00E538F9">
        <w:t>underlines</w:t>
      </w:r>
      <w:r w:rsidR="000138AC">
        <w:rPr>
          <w:u w:val="none"/>
        </w:rPr>
        <w:t xml:space="preserve"> its importance for </w:t>
      </w:r>
      <w:r w:rsidR="004A3735">
        <w:rPr>
          <w:u w:val="none"/>
        </w:rPr>
        <w:t xml:space="preserve">the attainment of </w:t>
      </w:r>
      <w:r w:rsidR="000138AC">
        <w:rPr>
          <w:u w:val="none"/>
        </w:rPr>
        <w:t>SDG 4.7</w:t>
      </w:r>
      <w:r w:rsidR="00A05B27">
        <w:rPr>
          <w:u w:val="none"/>
        </w:rPr>
        <w:t>;</w:t>
      </w:r>
    </w:p>
    <w:p w14:paraId="23BC0FEF" w14:textId="0B11B9D8" w:rsidR="00985DBA" w:rsidRPr="006B688A" w:rsidRDefault="00985DBA" w:rsidP="00985DBA">
      <w:pPr>
        <w:pStyle w:val="COMParaDecision"/>
        <w:ind w:left="1134" w:hanging="567"/>
      </w:pPr>
      <w:r w:rsidRPr="009730AC">
        <w:t xml:space="preserve">Further </w:t>
      </w:r>
      <w:r>
        <w:t>takes note</w:t>
      </w:r>
      <w:r w:rsidRPr="009730AC">
        <w:rPr>
          <w:u w:val="none"/>
        </w:rPr>
        <w:t xml:space="preserve"> </w:t>
      </w:r>
      <w:r>
        <w:rPr>
          <w:u w:val="none"/>
        </w:rPr>
        <w:t xml:space="preserve">of the activities undertaken in the area of outreach and communication and </w:t>
      </w:r>
      <w:r w:rsidRPr="006B688A">
        <w:t>encourages</w:t>
      </w:r>
      <w:r>
        <w:rPr>
          <w:u w:val="none"/>
        </w:rPr>
        <w:t xml:space="preserve"> the Secretariat to continue its effort</w:t>
      </w:r>
      <w:r w:rsidR="00691C76">
        <w:rPr>
          <w:u w:val="none"/>
        </w:rPr>
        <w:t>s</w:t>
      </w:r>
      <w:r>
        <w:rPr>
          <w:u w:val="none"/>
        </w:rPr>
        <w:t xml:space="preserve"> in this regard</w:t>
      </w:r>
      <w:r w:rsidRPr="005F6BB1">
        <w:rPr>
          <w:u w:val="none"/>
        </w:rPr>
        <w:t>;</w:t>
      </w:r>
    </w:p>
    <w:p w14:paraId="608D2533" w14:textId="2914835E" w:rsidR="000C63A7" w:rsidRPr="006B688A" w:rsidRDefault="000C63A7" w:rsidP="00EE7CAC">
      <w:pPr>
        <w:pStyle w:val="COMParaDecision"/>
        <w:ind w:left="1134" w:hanging="567"/>
        <w:rPr>
          <w:u w:val="none"/>
        </w:rPr>
      </w:pPr>
      <w:r w:rsidRPr="0023436B">
        <w:t>Also takes note</w:t>
      </w:r>
      <w:r w:rsidRPr="00105121">
        <w:rPr>
          <w:u w:val="none"/>
        </w:rPr>
        <w:t xml:space="preserve"> of the current use of the </w:t>
      </w:r>
      <w:r w:rsidRPr="00105121">
        <w:rPr>
          <w:u w:val="none"/>
          <w:lang w:val="en-US"/>
        </w:rPr>
        <w:t xml:space="preserve">International Assistance mechanism and the global capacity-building </w:t>
      </w:r>
      <w:proofErr w:type="spellStart"/>
      <w:r w:rsidRPr="00105121">
        <w:rPr>
          <w:u w:val="none"/>
          <w:lang w:val="en-US"/>
        </w:rPr>
        <w:t>programme</w:t>
      </w:r>
      <w:proofErr w:type="spellEnd"/>
      <w:r w:rsidRPr="00105121">
        <w:rPr>
          <w:u w:val="none"/>
          <w:lang w:val="en-US"/>
        </w:rPr>
        <w:t xml:space="preserve"> in relation to elements </w:t>
      </w:r>
      <w:r w:rsidR="00691C76">
        <w:rPr>
          <w:u w:val="none"/>
          <w:lang w:val="en-US"/>
        </w:rPr>
        <w:t xml:space="preserve">inscribed </w:t>
      </w:r>
      <w:r w:rsidRPr="00105121">
        <w:rPr>
          <w:u w:val="none"/>
          <w:lang w:val="en-US"/>
        </w:rPr>
        <w:t>on the List of Intangible Cultural Heritage in Need of Urgent Safeguarding</w:t>
      </w:r>
      <w:r>
        <w:rPr>
          <w:u w:val="none"/>
          <w:lang w:val="en-US"/>
        </w:rPr>
        <w:t xml:space="preserve"> and </w:t>
      </w:r>
      <w:r w:rsidRPr="00105121">
        <w:rPr>
          <w:lang w:val="en-US"/>
        </w:rPr>
        <w:t>encourages</w:t>
      </w:r>
      <w:r>
        <w:rPr>
          <w:u w:val="none"/>
          <w:lang w:val="en-US"/>
        </w:rPr>
        <w:t xml:space="preserve"> States Parties to make full use of these mechanisms and </w:t>
      </w:r>
      <w:proofErr w:type="spellStart"/>
      <w:r>
        <w:rPr>
          <w:u w:val="none"/>
          <w:lang w:val="en-US"/>
        </w:rPr>
        <w:t>programmes</w:t>
      </w:r>
      <w:proofErr w:type="spellEnd"/>
      <w:r>
        <w:rPr>
          <w:u w:val="none"/>
          <w:lang w:val="en-US"/>
        </w:rPr>
        <w:t xml:space="preserve"> for the </w:t>
      </w:r>
      <w:r w:rsidR="00691C76">
        <w:rPr>
          <w:u w:val="none"/>
          <w:lang w:val="en-US"/>
        </w:rPr>
        <w:t xml:space="preserve">elements of </w:t>
      </w:r>
      <w:r>
        <w:rPr>
          <w:u w:val="none"/>
          <w:lang w:val="en-US"/>
        </w:rPr>
        <w:t xml:space="preserve">their living heritage that are in need of </w:t>
      </w:r>
      <w:r w:rsidR="00EE7CAC">
        <w:rPr>
          <w:u w:val="none"/>
          <w:lang w:val="en-US"/>
        </w:rPr>
        <w:t xml:space="preserve">urgent </w:t>
      </w:r>
      <w:r>
        <w:rPr>
          <w:u w:val="none"/>
          <w:lang w:val="en-US"/>
        </w:rPr>
        <w:t>safeguarding</w:t>
      </w:r>
      <w:r w:rsidR="00691C76">
        <w:rPr>
          <w:u w:val="none"/>
          <w:lang w:val="en-US"/>
        </w:rPr>
        <w:t>;</w:t>
      </w:r>
    </w:p>
    <w:p w14:paraId="11317D98" w14:textId="779EAE39" w:rsidR="001264B3" w:rsidRPr="0003604D" w:rsidRDefault="001264B3" w:rsidP="0003604D">
      <w:pPr>
        <w:pStyle w:val="COMParaDecision"/>
        <w:ind w:left="1134" w:hanging="567"/>
        <w:rPr>
          <w:u w:val="none"/>
        </w:rPr>
      </w:pPr>
      <w:r w:rsidRPr="00486032">
        <w:t>Appreciates</w:t>
      </w:r>
      <w:r w:rsidRPr="00486032">
        <w:rPr>
          <w:u w:val="none"/>
        </w:rPr>
        <w:t xml:space="preserve"> the initiative ‘Dive into Intangible Cultural Heritage’, </w:t>
      </w:r>
      <w:r w:rsidRPr="0003604D">
        <w:t>thanks</w:t>
      </w:r>
      <w:r w:rsidRPr="0003604D">
        <w:rPr>
          <w:u w:val="none"/>
        </w:rPr>
        <w:t xml:space="preserve"> the </w:t>
      </w:r>
      <w:r w:rsidR="008C78B5" w:rsidRPr="006B688A">
        <w:rPr>
          <w:u w:val="none"/>
        </w:rPr>
        <w:t xml:space="preserve">Government of the </w:t>
      </w:r>
      <w:r w:rsidRPr="0003604D">
        <w:rPr>
          <w:u w:val="none"/>
        </w:rPr>
        <w:t>Netherlands for its financial support</w:t>
      </w:r>
      <w:r w:rsidR="00A05B27" w:rsidRPr="0003604D">
        <w:rPr>
          <w:u w:val="none"/>
        </w:rPr>
        <w:t xml:space="preserve"> </w:t>
      </w:r>
      <w:r w:rsidR="000138AC">
        <w:rPr>
          <w:u w:val="none"/>
        </w:rPr>
        <w:t>to</w:t>
      </w:r>
      <w:r w:rsidR="000138AC" w:rsidRPr="0003604D">
        <w:rPr>
          <w:u w:val="none"/>
        </w:rPr>
        <w:t xml:space="preserve"> </w:t>
      </w:r>
      <w:r w:rsidR="00A05B27" w:rsidRPr="0003604D">
        <w:rPr>
          <w:u w:val="none"/>
        </w:rPr>
        <w:t>the initiative</w:t>
      </w:r>
      <w:r w:rsidRPr="0003604D">
        <w:rPr>
          <w:u w:val="none"/>
        </w:rPr>
        <w:t>, which made its public release during this session possible</w:t>
      </w:r>
      <w:r w:rsidR="00691C76" w:rsidRPr="0003604D">
        <w:rPr>
          <w:u w:val="none"/>
        </w:rPr>
        <w:t>,</w:t>
      </w:r>
      <w:r w:rsidRPr="0003604D">
        <w:rPr>
          <w:u w:val="none"/>
        </w:rPr>
        <w:t xml:space="preserve"> and </w:t>
      </w:r>
      <w:r w:rsidR="0003604D" w:rsidRPr="0003604D">
        <w:t>invites</w:t>
      </w:r>
      <w:r w:rsidRPr="0003604D">
        <w:rPr>
          <w:u w:val="none"/>
        </w:rPr>
        <w:t xml:space="preserve"> the Secretariat to further develop it;</w:t>
      </w:r>
    </w:p>
    <w:p w14:paraId="59178CC9" w14:textId="65BDDA6D" w:rsidR="00772161" w:rsidRPr="006B688A" w:rsidRDefault="0003604D" w:rsidP="00C16731">
      <w:pPr>
        <w:pStyle w:val="COMParaDecision"/>
        <w:ind w:left="1134" w:hanging="567"/>
        <w:rPr>
          <w:u w:val="none"/>
        </w:rPr>
      </w:pPr>
      <w:r w:rsidRPr="0003604D">
        <w:t>N</w:t>
      </w:r>
      <w:r w:rsidR="00B2102E" w:rsidRPr="006B688A">
        <w:t>ote</w:t>
      </w:r>
      <w:r w:rsidRPr="0003604D">
        <w:t>s</w:t>
      </w:r>
      <w:r w:rsidR="00B2102E" w:rsidRPr="0003604D">
        <w:rPr>
          <w:u w:val="none"/>
        </w:rPr>
        <w:t xml:space="preserve"> </w:t>
      </w:r>
      <w:r w:rsidR="001264B3" w:rsidRPr="0003604D">
        <w:rPr>
          <w:u w:val="none"/>
        </w:rPr>
        <w:t>the initiative on intangible cultural heritage in urban contexts</w:t>
      </w:r>
      <w:r w:rsidR="000C63A7" w:rsidRPr="0003604D">
        <w:rPr>
          <w:u w:val="none"/>
        </w:rPr>
        <w:t>,</w:t>
      </w:r>
      <w:r w:rsidR="00B2102E" w:rsidRPr="0003604D">
        <w:rPr>
          <w:u w:val="none"/>
        </w:rPr>
        <w:t xml:space="preserve"> </w:t>
      </w:r>
      <w:r w:rsidR="00B2102E" w:rsidRPr="006B688A">
        <w:t>thanks</w:t>
      </w:r>
      <w:r w:rsidR="00B2102E" w:rsidRPr="0003604D">
        <w:rPr>
          <w:u w:val="none"/>
        </w:rPr>
        <w:t xml:space="preserve"> </w:t>
      </w:r>
      <w:r w:rsidR="00EA1B83">
        <w:rPr>
          <w:u w:val="none"/>
        </w:rPr>
        <w:t xml:space="preserve">the private sector company </w:t>
      </w:r>
      <w:r w:rsidR="005A30C6">
        <w:rPr>
          <w:u w:val="none"/>
        </w:rPr>
        <w:t>in</w:t>
      </w:r>
      <w:r w:rsidR="00EA1B83">
        <w:rPr>
          <w:u w:val="none"/>
        </w:rPr>
        <w:t xml:space="preserve"> </w:t>
      </w:r>
      <w:r w:rsidR="00EA1B83" w:rsidRPr="00C16731">
        <w:rPr>
          <w:rFonts w:eastAsia="Calibri"/>
          <w:u w:val="none"/>
        </w:rPr>
        <w:t>the People’s Republic of China</w:t>
      </w:r>
      <w:r w:rsidR="00EA1B83" w:rsidRPr="006B688A">
        <w:rPr>
          <w:u w:val="none"/>
        </w:rPr>
        <w:t xml:space="preserve"> </w:t>
      </w:r>
      <w:r w:rsidR="000C63A7" w:rsidRPr="006B688A">
        <w:rPr>
          <w:u w:val="none"/>
        </w:rPr>
        <w:t xml:space="preserve">for </w:t>
      </w:r>
      <w:r w:rsidR="00A05B27" w:rsidRPr="0003604D">
        <w:rPr>
          <w:u w:val="none"/>
        </w:rPr>
        <w:t>its</w:t>
      </w:r>
      <w:r w:rsidR="000C63A7" w:rsidRPr="0003604D">
        <w:rPr>
          <w:u w:val="none"/>
        </w:rPr>
        <w:t xml:space="preserve"> generous contribution towards it and </w:t>
      </w:r>
      <w:r w:rsidRPr="0003604D">
        <w:t>invites</w:t>
      </w:r>
      <w:r w:rsidR="000C63A7" w:rsidRPr="0003604D">
        <w:rPr>
          <w:u w:val="none"/>
        </w:rPr>
        <w:t xml:space="preserve"> the Secretariat to pursue its efforts in this regard</w:t>
      </w:r>
      <w:r w:rsidR="00691C76" w:rsidRPr="0003604D">
        <w:rPr>
          <w:u w:val="none"/>
        </w:rPr>
        <w:t>;</w:t>
      </w:r>
    </w:p>
    <w:p w14:paraId="4A174607" w14:textId="17EDEB74" w:rsidR="005F2D0F" w:rsidRPr="00921BDC" w:rsidRDefault="0003604D" w:rsidP="0003604D">
      <w:pPr>
        <w:pStyle w:val="COMParaDecision"/>
        <w:ind w:left="1134" w:hanging="567"/>
        <w:rPr>
          <w:u w:val="none"/>
        </w:rPr>
      </w:pPr>
      <w:r>
        <w:t>Further n</w:t>
      </w:r>
      <w:r w:rsidR="00817FFC" w:rsidRPr="00486032">
        <w:t>otes</w:t>
      </w:r>
      <w:r w:rsidR="00817FFC" w:rsidRPr="00486032">
        <w:rPr>
          <w:u w:val="none"/>
        </w:rPr>
        <w:t xml:space="preserve"> the progress </w:t>
      </w:r>
      <w:r w:rsidR="002E3189" w:rsidRPr="00486032">
        <w:rPr>
          <w:u w:val="none"/>
        </w:rPr>
        <w:t>made</w:t>
      </w:r>
      <w:r w:rsidR="00817FFC" w:rsidRPr="00486032">
        <w:rPr>
          <w:u w:val="none"/>
        </w:rPr>
        <w:t xml:space="preserve"> by the Secretariat towards </w:t>
      </w:r>
      <w:r w:rsidR="00691C76">
        <w:rPr>
          <w:u w:val="none"/>
        </w:rPr>
        <w:t>developing</w:t>
      </w:r>
      <w:r w:rsidR="002E3189" w:rsidRPr="00486032">
        <w:rPr>
          <w:u w:val="none"/>
        </w:rPr>
        <w:t xml:space="preserve"> </w:t>
      </w:r>
      <w:r w:rsidR="00817FFC" w:rsidRPr="00486032">
        <w:rPr>
          <w:u w:val="none"/>
        </w:rPr>
        <w:t xml:space="preserve">alternate, lighter ways of sharing safeguarding experiences and </w:t>
      </w:r>
      <w:r w:rsidR="00817FFC" w:rsidRPr="00486032">
        <w:t>requests</w:t>
      </w:r>
      <w:r w:rsidR="00817FFC" w:rsidRPr="00486032">
        <w:rPr>
          <w:u w:val="none"/>
        </w:rPr>
        <w:t xml:space="preserve"> </w:t>
      </w:r>
      <w:r w:rsidR="00B113C5">
        <w:rPr>
          <w:u w:val="none"/>
        </w:rPr>
        <w:t xml:space="preserve">that </w:t>
      </w:r>
      <w:r w:rsidR="00817FFC" w:rsidRPr="00486032">
        <w:rPr>
          <w:u w:val="none"/>
        </w:rPr>
        <w:t xml:space="preserve">the Secretariat </w:t>
      </w:r>
      <w:r>
        <w:rPr>
          <w:u w:val="none"/>
        </w:rPr>
        <w:t>present</w:t>
      </w:r>
      <w:r w:rsidRPr="00921BDC">
        <w:rPr>
          <w:u w:val="none"/>
        </w:rPr>
        <w:t xml:space="preserve"> </w:t>
      </w:r>
      <w:r w:rsidR="00052A61" w:rsidRPr="00921BDC">
        <w:rPr>
          <w:u w:val="none"/>
        </w:rPr>
        <w:t xml:space="preserve">the results of the analysis of the online survey </w:t>
      </w:r>
      <w:r>
        <w:rPr>
          <w:u w:val="none"/>
        </w:rPr>
        <w:t>at</w:t>
      </w:r>
      <w:r w:rsidRPr="00921BDC">
        <w:rPr>
          <w:u w:val="none"/>
        </w:rPr>
        <w:t xml:space="preserve"> </w:t>
      </w:r>
      <w:r w:rsidR="00052A61" w:rsidRPr="00921BDC">
        <w:rPr>
          <w:u w:val="none"/>
        </w:rPr>
        <w:t>the fourteenth session of the Committee</w:t>
      </w:r>
      <w:r w:rsidR="002E3189" w:rsidRPr="00921BDC">
        <w:rPr>
          <w:u w:val="none"/>
        </w:rPr>
        <w:t>;</w:t>
      </w:r>
    </w:p>
    <w:p w14:paraId="133E9804" w14:textId="7C24E0D6" w:rsidR="00030BBF" w:rsidRPr="0089284F" w:rsidRDefault="00683A10">
      <w:pPr>
        <w:pStyle w:val="COMParaDecision"/>
        <w:ind w:left="1134" w:hanging="567"/>
        <w:rPr>
          <w:u w:val="none"/>
        </w:rPr>
      </w:pPr>
      <w:r w:rsidRPr="00683A10">
        <w:t>Reiterate</w:t>
      </w:r>
      <w:r w:rsidR="0089284F">
        <w:t>s</w:t>
      </w:r>
      <w:r w:rsidRPr="00683A10">
        <w:rPr>
          <w:u w:val="none"/>
        </w:rPr>
        <w:t xml:space="preserve"> its call </w:t>
      </w:r>
      <w:r w:rsidR="00B113C5">
        <w:rPr>
          <w:u w:val="none"/>
        </w:rPr>
        <w:t>to</w:t>
      </w:r>
      <w:r w:rsidR="00B113C5" w:rsidRPr="00683A10">
        <w:rPr>
          <w:u w:val="none"/>
        </w:rPr>
        <w:t xml:space="preserve"> </w:t>
      </w:r>
      <w:r w:rsidRPr="00683A10">
        <w:rPr>
          <w:u w:val="none"/>
        </w:rPr>
        <w:t>States Part</w:t>
      </w:r>
      <w:r w:rsidR="00D60F2F">
        <w:rPr>
          <w:u w:val="none"/>
        </w:rPr>
        <w:t>ies</w:t>
      </w:r>
      <w:r w:rsidRPr="00683A10">
        <w:rPr>
          <w:u w:val="none"/>
        </w:rPr>
        <w:t xml:space="preserve"> to continue supporting </w:t>
      </w:r>
      <w:r w:rsidR="0089284F">
        <w:rPr>
          <w:u w:val="none"/>
        </w:rPr>
        <w:t>the implementation of the Convention, notably</w:t>
      </w:r>
      <w:r w:rsidR="00EB4030">
        <w:rPr>
          <w:u w:val="none"/>
        </w:rPr>
        <w:t xml:space="preserve"> through</w:t>
      </w:r>
      <w:r w:rsidR="0089284F">
        <w:rPr>
          <w:u w:val="none"/>
        </w:rPr>
        <w:t xml:space="preserve"> </w:t>
      </w:r>
      <w:r w:rsidR="009F295C">
        <w:rPr>
          <w:u w:val="none"/>
        </w:rPr>
        <w:t>voluntary supplementary</w:t>
      </w:r>
      <w:r w:rsidR="009F295C" w:rsidRPr="0089284F">
        <w:rPr>
          <w:u w:val="none"/>
        </w:rPr>
        <w:t xml:space="preserve"> </w:t>
      </w:r>
      <w:r w:rsidR="0089284F" w:rsidRPr="0089284F">
        <w:rPr>
          <w:u w:val="none"/>
        </w:rPr>
        <w:t xml:space="preserve">contributions to the Intangible </w:t>
      </w:r>
      <w:r w:rsidR="0089284F" w:rsidRPr="0089284F">
        <w:rPr>
          <w:u w:val="none"/>
        </w:rPr>
        <w:lastRenderedPageBreak/>
        <w:t xml:space="preserve">Cultural Heritage Fund for operational </w:t>
      </w:r>
      <w:r w:rsidR="00193190">
        <w:rPr>
          <w:u w:val="none"/>
        </w:rPr>
        <w:t xml:space="preserve">and thematic </w:t>
      </w:r>
      <w:r w:rsidR="0089284F" w:rsidRPr="0089284F">
        <w:rPr>
          <w:u w:val="none"/>
        </w:rPr>
        <w:t xml:space="preserve">projects and to the </w:t>
      </w:r>
      <w:r w:rsidR="00AA7D1A">
        <w:rPr>
          <w:u w:val="none"/>
        </w:rPr>
        <w:t>s</w:t>
      </w:r>
      <w:r w:rsidR="00AA7D1A" w:rsidRPr="0089284F">
        <w:rPr>
          <w:u w:val="none"/>
        </w:rPr>
        <w:t>ub</w:t>
      </w:r>
      <w:r w:rsidR="0089284F" w:rsidRPr="0089284F">
        <w:rPr>
          <w:u w:val="none"/>
        </w:rPr>
        <w:t>-</w:t>
      </w:r>
      <w:r w:rsidR="00CD7BFB">
        <w:rPr>
          <w:u w:val="none"/>
        </w:rPr>
        <w:t>f</w:t>
      </w:r>
      <w:r w:rsidR="00AA7D1A" w:rsidRPr="0089284F">
        <w:rPr>
          <w:u w:val="none"/>
        </w:rPr>
        <w:t xml:space="preserve">und </w:t>
      </w:r>
      <w:r w:rsidR="0089284F" w:rsidRPr="0089284F">
        <w:rPr>
          <w:u w:val="none"/>
        </w:rPr>
        <w:t>for enhancing the human resources of the Secretariat</w:t>
      </w:r>
      <w:r w:rsidR="0089284F">
        <w:rPr>
          <w:u w:val="none"/>
        </w:rPr>
        <w:t>.</w:t>
      </w:r>
    </w:p>
    <w:p w14:paraId="7EAE8842" w14:textId="77777777" w:rsidR="00A23FF6" w:rsidRDefault="00A23FF6" w:rsidP="009E55F7">
      <w:pPr>
        <w:rPr>
          <w:rFonts w:ascii="Arial" w:eastAsia="SimSun" w:hAnsi="Arial" w:cs="Arial"/>
          <w:b/>
          <w:sz w:val="22"/>
          <w:szCs w:val="22"/>
          <w:u w:val="single"/>
          <w:lang w:val="en-GB"/>
        </w:rPr>
        <w:sectPr w:rsidR="00A23FF6" w:rsidSect="00A23FF6">
          <w:headerReference w:type="even" r:id="rId25"/>
          <w:headerReference w:type="default" r:id="rId26"/>
          <w:headerReference w:type="first" r:id="rId27"/>
          <w:type w:val="oddPage"/>
          <w:pgSz w:w="11906" w:h="16838" w:code="9"/>
          <w:pgMar w:top="1418" w:right="1134" w:bottom="1134" w:left="1134" w:header="397" w:footer="284" w:gutter="0"/>
          <w:cols w:space="708"/>
          <w:titlePg/>
          <w:docGrid w:linePitch="360"/>
        </w:sectPr>
      </w:pPr>
    </w:p>
    <w:p w14:paraId="745F4848" w14:textId="77777777" w:rsidR="009E55F7" w:rsidRPr="009E55F7" w:rsidRDefault="009E55F7" w:rsidP="009E55F7">
      <w:pPr>
        <w:autoSpaceDE w:val="0"/>
        <w:autoSpaceDN w:val="0"/>
        <w:adjustRightInd w:val="0"/>
        <w:spacing w:after="120"/>
        <w:jc w:val="center"/>
        <w:rPr>
          <w:rFonts w:ascii="Arial" w:eastAsia="SimSun" w:hAnsi="Arial" w:cs="Arial"/>
          <w:b/>
          <w:sz w:val="22"/>
          <w:szCs w:val="22"/>
          <w:u w:val="single"/>
          <w:lang w:val="en-GB"/>
        </w:rPr>
      </w:pPr>
      <w:r w:rsidRPr="009E55F7">
        <w:rPr>
          <w:rFonts w:ascii="Arial" w:eastAsia="SimSun" w:hAnsi="Arial" w:cs="Arial"/>
          <w:b/>
          <w:sz w:val="22"/>
          <w:szCs w:val="22"/>
          <w:u w:val="single"/>
          <w:lang w:val="en-GB"/>
        </w:rPr>
        <w:lastRenderedPageBreak/>
        <w:t>Annex</w:t>
      </w:r>
    </w:p>
    <w:p w14:paraId="0664F43C" w14:textId="77777777" w:rsidR="009E55F7" w:rsidRPr="003F3C3D" w:rsidRDefault="009E55F7" w:rsidP="003F3C3D">
      <w:pPr>
        <w:autoSpaceDE w:val="0"/>
        <w:autoSpaceDN w:val="0"/>
        <w:adjustRightInd w:val="0"/>
        <w:spacing w:after="240"/>
        <w:jc w:val="center"/>
        <w:rPr>
          <w:rFonts w:ascii="Arial" w:eastAsia="Malgun Gothic" w:hAnsi="Arial" w:cs="Arial"/>
          <w:b/>
          <w:sz w:val="22"/>
          <w:szCs w:val="22"/>
          <w:lang w:val="en-GB" w:eastAsia="ko-KR"/>
        </w:rPr>
      </w:pPr>
      <w:r w:rsidRPr="003F3C3D">
        <w:rPr>
          <w:rFonts w:ascii="Arial" w:eastAsia="SimSun" w:hAnsi="Arial" w:cs="Arial"/>
          <w:b/>
          <w:sz w:val="22"/>
          <w:szCs w:val="22"/>
          <w:lang w:val="en-GB"/>
        </w:rPr>
        <w:t>Assessment</w:t>
      </w:r>
      <w:r w:rsidRPr="003F3C3D">
        <w:rPr>
          <w:rFonts w:ascii="Arial" w:eastAsia="SimSun" w:hAnsi="Arial" w:cs="Arial"/>
          <w:b/>
          <w:sz w:val="22"/>
          <w:szCs w:val="22"/>
          <w:lang w:val="en-US"/>
        </w:rPr>
        <w:t xml:space="preserve"> by Performance Indicator</w:t>
      </w:r>
    </w:p>
    <w:tbl>
      <w:tblPr>
        <w:tblStyle w:val="TableGrid2"/>
        <w:tblW w:w="14572" w:type="dxa"/>
        <w:tblLook w:val="04A0" w:firstRow="1" w:lastRow="0" w:firstColumn="1" w:lastColumn="0" w:noHBand="0" w:noVBand="1"/>
      </w:tblPr>
      <w:tblGrid>
        <w:gridCol w:w="3789"/>
        <w:gridCol w:w="10783"/>
      </w:tblGrid>
      <w:tr w:rsidR="009E55F7" w:rsidRPr="00C16731" w14:paraId="37C5AC78" w14:textId="77777777" w:rsidTr="007E63DA">
        <w:trPr>
          <w:cantSplit/>
        </w:trPr>
        <w:tc>
          <w:tcPr>
            <w:tcW w:w="1300" w:type="pct"/>
            <w:shd w:val="clear" w:color="auto" w:fill="808080" w:themeFill="background1" w:themeFillShade="80"/>
            <w:vAlign w:val="center"/>
          </w:tcPr>
          <w:p w14:paraId="69FA61DC" w14:textId="77777777" w:rsidR="009E55F7" w:rsidRPr="009E55F7" w:rsidRDefault="009E55F7" w:rsidP="009E55F7">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39</w:t>
            </w:r>
            <w:r w:rsidRPr="009E55F7">
              <w:rPr>
                <w:rFonts w:ascii="Arial" w:hAnsi="Arial" w:cs="Arial"/>
                <w:b/>
                <w:bCs/>
                <w:color w:val="FFFFFF" w:themeColor="background1"/>
                <w:sz w:val="22"/>
                <w:szCs w:val="22"/>
                <w:lang w:val="en-GB"/>
              </w:rPr>
              <w:t>C/5 Performance Indicator 1</w:t>
            </w:r>
          </w:p>
        </w:tc>
        <w:tc>
          <w:tcPr>
            <w:tcW w:w="3700" w:type="pct"/>
            <w:shd w:val="clear" w:color="auto" w:fill="808080" w:themeFill="background1" w:themeFillShade="80"/>
            <w:vAlign w:val="center"/>
          </w:tcPr>
          <w:p w14:paraId="45891A60" w14:textId="77777777" w:rsidR="009E55F7" w:rsidRPr="009E55F7" w:rsidRDefault="009E55F7" w:rsidP="009E55F7">
            <w:pPr>
              <w:keepNext/>
              <w:spacing w:before="120" w:after="120"/>
              <w:rPr>
                <w:rFonts w:ascii="Arial" w:hAnsi="Arial" w:cs="Arial"/>
                <w:b/>
                <w:bCs/>
                <w:color w:val="FFFFFF" w:themeColor="background1"/>
                <w:sz w:val="22"/>
                <w:szCs w:val="22"/>
                <w:lang w:val="en-GB"/>
              </w:rPr>
            </w:pPr>
            <w:r w:rsidRPr="009E55F7">
              <w:rPr>
                <w:rFonts w:ascii="Arial" w:hAnsi="Arial" w:cs="Arial"/>
                <w:b/>
                <w:bCs/>
                <w:color w:val="FFFFFF" w:themeColor="background1"/>
                <w:sz w:val="22"/>
                <w:szCs w:val="22"/>
                <w:lang w:val="en-GB"/>
              </w:rPr>
              <w:t>Sound governance exercised through the adoption and implementation of strategic resolutions/decisions of the governing bodies of the 2003 Convention.</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2"/>
        <w:gridCol w:w="1961"/>
        <w:gridCol w:w="7140"/>
      </w:tblGrid>
      <w:tr w:rsidR="00F0515A" w:rsidRPr="009E55F7" w14:paraId="6713413A" w14:textId="77777777" w:rsidTr="003F3C3D">
        <w:trPr>
          <w:tblHeader/>
        </w:trPr>
        <w:tc>
          <w:tcPr>
            <w:tcW w:w="1300" w:type="pct"/>
            <w:shd w:val="clear" w:color="auto" w:fill="D9D9D9" w:themeFill="background1" w:themeFillShade="D9"/>
            <w:vAlign w:val="center"/>
          </w:tcPr>
          <w:p w14:paraId="35763808" w14:textId="77777777" w:rsidR="00F0515A" w:rsidRPr="009E55F7" w:rsidRDefault="00F0515A" w:rsidP="003F3C3D">
            <w:pPr>
              <w:spacing w:before="60" w:after="60"/>
              <w:jc w:val="center"/>
              <w:rPr>
                <w:rFonts w:ascii="Arial" w:eastAsia="Calibri" w:hAnsi="Arial" w:cs="Arial"/>
                <w:b/>
                <w:sz w:val="20"/>
                <w:szCs w:val="20"/>
                <w:lang w:val="en-GB"/>
              </w:rPr>
            </w:pPr>
            <w:r w:rsidRPr="00F0515A">
              <w:rPr>
                <w:rFonts w:ascii="Arial" w:eastAsia="Calibri" w:hAnsi="Arial" w:cs="Arial"/>
                <w:b/>
                <w:sz w:val="20"/>
                <w:szCs w:val="20"/>
                <w:lang w:val="en-GB"/>
              </w:rPr>
              <w:t>Assessed according to the following:</w:t>
            </w:r>
          </w:p>
        </w:tc>
        <w:tc>
          <w:tcPr>
            <w:tcW w:w="577" w:type="pct"/>
            <w:shd w:val="clear" w:color="auto" w:fill="D9D9D9" w:themeFill="background1" w:themeFillShade="D9"/>
            <w:vAlign w:val="center"/>
          </w:tcPr>
          <w:p w14:paraId="13506CD7" w14:textId="77777777" w:rsidR="00F0515A" w:rsidRPr="00B8764B" w:rsidRDefault="00583401" w:rsidP="009E55F7">
            <w:pPr>
              <w:spacing w:before="60" w:after="60"/>
              <w:jc w:val="center"/>
              <w:rPr>
                <w:rFonts w:ascii="Arial" w:eastAsia="Calibri" w:hAnsi="Arial" w:cs="Arial"/>
                <w:b/>
                <w:sz w:val="20"/>
                <w:szCs w:val="20"/>
                <w:lang w:val="en-US"/>
              </w:rPr>
            </w:pPr>
            <w:r w:rsidRPr="00B8764B">
              <w:rPr>
                <w:rFonts w:ascii="Arial" w:hAnsi="Arial" w:cs="Arial"/>
                <w:b/>
                <w:bCs/>
                <w:sz w:val="20"/>
                <w:szCs w:val="20"/>
                <w:lang w:val="en-US"/>
              </w:rPr>
              <w:t>Baselines</w:t>
            </w:r>
          </w:p>
        </w:tc>
        <w:tc>
          <w:tcPr>
            <w:tcW w:w="673" w:type="pct"/>
            <w:shd w:val="clear" w:color="auto" w:fill="D9D9D9" w:themeFill="background1" w:themeFillShade="D9"/>
            <w:vAlign w:val="center"/>
          </w:tcPr>
          <w:p w14:paraId="0F6C3718" w14:textId="77777777" w:rsidR="00F0515A" w:rsidRPr="009E55F7" w:rsidRDefault="00F0515A" w:rsidP="009E55F7">
            <w:pPr>
              <w:spacing w:before="60" w:after="60"/>
              <w:jc w:val="center"/>
              <w:rPr>
                <w:rFonts w:ascii="Arial" w:eastAsia="Calibri" w:hAnsi="Arial" w:cs="Arial"/>
                <w:b/>
                <w:sz w:val="20"/>
                <w:szCs w:val="20"/>
                <w:lang w:val="en-GB"/>
              </w:rPr>
            </w:pPr>
            <w:r w:rsidRPr="009E55F7">
              <w:rPr>
                <w:rFonts w:ascii="Arial" w:eastAsia="Calibri" w:hAnsi="Arial" w:cs="Arial"/>
                <w:b/>
                <w:sz w:val="20"/>
                <w:szCs w:val="20"/>
                <w:lang w:val="en-GB"/>
              </w:rPr>
              <w:t>Target</w:t>
            </w:r>
            <w:r w:rsidR="00583401">
              <w:rPr>
                <w:rFonts w:ascii="Arial" w:eastAsia="Calibri" w:hAnsi="Arial" w:cs="Arial"/>
                <w:b/>
                <w:sz w:val="20"/>
                <w:szCs w:val="20"/>
                <w:lang w:val="en-GB"/>
              </w:rPr>
              <w:t>s 2018-2019</w:t>
            </w:r>
          </w:p>
        </w:tc>
        <w:tc>
          <w:tcPr>
            <w:tcW w:w="2451" w:type="pct"/>
            <w:shd w:val="clear" w:color="auto" w:fill="D9D9D9" w:themeFill="background1" w:themeFillShade="D9"/>
            <w:vAlign w:val="center"/>
          </w:tcPr>
          <w:p w14:paraId="458A5608" w14:textId="77777777" w:rsidR="00F0515A" w:rsidRPr="009E55F7" w:rsidRDefault="00F0515A" w:rsidP="00F0515A">
            <w:pPr>
              <w:autoSpaceDE w:val="0"/>
              <w:autoSpaceDN w:val="0"/>
              <w:adjustRightInd w:val="0"/>
              <w:jc w:val="center"/>
              <w:rPr>
                <w:rFonts w:ascii="Arial" w:eastAsia="Calibri" w:hAnsi="Arial" w:cs="Arial"/>
                <w:b/>
                <w:color w:val="000000"/>
                <w:sz w:val="20"/>
                <w:szCs w:val="20"/>
                <w:lang w:val="en-GB"/>
              </w:rPr>
            </w:pPr>
            <w:r w:rsidRPr="009E55F7">
              <w:rPr>
                <w:rFonts w:ascii="Arial" w:eastAsia="Calibri" w:hAnsi="Arial" w:cs="Arial"/>
                <w:b/>
                <w:sz w:val="20"/>
                <w:szCs w:val="20"/>
                <w:lang w:val="en-GB"/>
              </w:rPr>
              <w:t>Assessment of progress:</w:t>
            </w:r>
            <w:r w:rsidRPr="009E55F7">
              <w:rPr>
                <w:rFonts w:ascii="Arial" w:eastAsia="Calibri" w:hAnsi="Arial" w:cs="Arial"/>
                <w:b/>
                <w:sz w:val="20"/>
                <w:szCs w:val="20"/>
                <w:lang w:val="en-GB"/>
              </w:rPr>
              <w:br/>
              <w:t>01/01/201</w:t>
            </w:r>
            <w:r>
              <w:rPr>
                <w:rFonts w:ascii="Arial" w:eastAsia="Calibri" w:hAnsi="Arial" w:cs="Arial"/>
                <w:b/>
                <w:sz w:val="20"/>
                <w:szCs w:val="20"/>
                <w:lang w:val="en-GB"/>
              </w:rPr>
              <w:t>8</w:t>
            </w:r>
            <w:r w:rsidRPr="009E55F7">
              <w:rPr>
                <w:rFonts w:ascii="Arial" w:eastAsia="Calibri" w:hAnsi="Arial" w:cs="Arial"/>
                <w:b/>
                <w:sz w:val="20"/>
                <w:szCs w:val="20"/>
                <w:lang w:val="en-GB"/>
              </w:rPr>
              <w:t xml:space="preserve"> to 30/06/201</w:t>
            </w:r>
            <w:r>
              <w:rPr>
                <w:rFonts w:ascii="Arial" w:eastAsia="Calibri" w:hAnsi="Arial" w:cs="Arial"/>
                <w:b/>
                <w:sz w:val="20"/>
                <w:szCs w:val="20"/>
                <w:lang w:val="en-GB"/>
              </w:rPr>
              <w:t xml:space="preserve">8 </w:t>
            </w:r>
          </w:p>
        </w:tc>
      </w:tr>
      <w:tr w:rsidR="00F0515A" w:rsidRPr="00C16731" w14:paraId="6B6F1865" w14:textId="77777777" w:rsidTr="007E63DA">
        <w:tc>
          <w:tcPr>
            <w:tcW w:w="1300" w:type="pct"/>
          </w:tcPr>
          <w:p w14:paraId="68BA437B" w14:textId="2CA60754" w:rsidR="00F0515A" w:rsidRPr="00F0515A" w:rsidRDefault="00F0515A"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F0515A">
              <w:rPr>
                <w:rFonts w:ascii="Arial" w:hAnsi="Arial" w:cs="Arial"/>
                <w:sz w:val="22"/>
                <w:szCs w:val="22"/>
                <w:lang w:val="en-US"/>
              </w:rPr>
              <w:t>Strengthened ability to provide strategic guidance to States Parties for the implementation and monitoring of the Convention, including through examination of submitted periodic reports</w:t>
            </w:r>
          </w:p>
          <w:p w14:paraId="4CBBB7B9" w14:textId="1C560771" w:rsidR="00F0515A" w:rsidRPr="00F0515A" w:rsidRDefault="00F0515A"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F0515A">
              <w:rPr>
                <w:rFonts w:ascii="Arial" w:hAnsi="Arial" w:cs="Arial"/>
                <w:sz w:val="22"/>
                <w:szCs w:val="22"/>
                <w:lang w:val="en-US"/>
              </w:rPr>
              <w:t>Working methods of</w:t>
            </w:r>
            <w:r>
              <w:rPr>
                <w:rFonts w:ascii="Arial" w:hAnsi="Arial" w:cs="Arial"/>
                <w:sz w:val="22"/>
                <w:szCs w:val="22"/>
                <w:lang w:val="en-US"/>
              </w:rPr>
              <w:t xml:space="preserve"> the governing bodies improved</w:t>
            </w:r>
          </w:p>
          <w:p w14:paraId="58841F94" w14:textId="77777777" w:rsidR="00F0515A" w:rsidRPr="00F0515A" w:rsidRDefault="00F0515A"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F0515A">
              <w:rPr>
                <w:rFonts w:ascii="Arial" w:hAnsi="Arial" w:cs="Arial"/>
                <w:sz w:val="22"/>
                <w:szCs w:val="22"/>
                <w:lang w:val="en-US"/>
              </w:rPr>
              <w:t>Level of funding to the implementation of decisions adopted by the governing bodies</w:t>
            </w:r>
          </w:p>
          <w:p w14:paraId="5FBC55C4" w14:textId="15089D87" w:rsidR="00F0515A" w:rsidRPr="00F0515A" w:rsidRDefault="00F0515A"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F0515A">
              <w:rPr>
                <w:rFonts w:ascii="Arial" w:hAnsi="Arial" w:cs="Arial"/>
                <w:sz w:val="22"/>
                <w:szCs w:val="22"/>
                <w:lang w:val="en-US"/>
              </w:rPr>
              <w:t>Level of contribution of non-governmental organizations, with recognized competence in the field of intangible cultural heritage, to the Convention’s governance</w:t>
            </w:r>
          </w:p>
        </w:tc>
        <w:tc>
          <w:tcPr>
            <w:tcW w:w="577" w:type="pct"/>
            <w:shd w:val="clear" w:color="auto" w:fill="auto"/>
          </w:tcPr>
          <w:p w14:paraId="57333AB6" w14:textId="77777777" w:rsidR="00F0515A" w:rsidRPr="009E55F7" w:rsidRDefault="00F0515A"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sidRPr="0076485E">
              <w:rPr>
                <w:rFonts w:ascii="Arial" w:hAnsi="Arial" w:cs="Arial"/>
                <w:sz w:val="22"/>
                <w:szCs w:val="22"/>
                <w:lang w:val="en-US"/>
              </w:rPr>
              <w:t>Partially</w:t>
            </w:r>
          </w:p>
        </w:tc>
        <w:tc>
          <w:tcPr>
            <w:tcW w:w="673" w:type="pct"/>
            <w:shd w:val="clear" w:color="auto" w:fill="auto"/>
          </w:tcPr>
          <w:p w14:paraId="63603148" w14:textId="77777777" w:rsidR="00F0515A" w:rsidRPr="009E55F7" w:rsidRDefault="00F0515A"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sidRPr="0076485E">
              <w:rPr>
                <w:rFonts w:ascii="Arial" w:hAnsi="Arial" w:cs="Arial"/>
                <w:sz w:val="22"/>
                <w:szCs w:val="22"/>
                <w:lang w:val="en-US"/>
              </w:rPr>
              <w:t>Yes</w:t>
            </w:r>
          </w:p>
        </w:tc>
        <w:tc>
          <w:tcPr>
            <w:tcW w:w="2451" w:type="pct"/>
          </w:tcPr>
          <w:p w14:paraId="7C4F76D6" w14:textId="594E4F6D" w:rsidR="0076485E" w:rsidRPr="00FF6472" w:rsidRDefault="0076485E"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sidRPr="0076485E">
              <w:rPr>
                <w:rFonts w:ascii="Arial" w:hAnsi="Arial" w:cs="Arial"/>
                <w:sz w:val="22"/>
                <w:szCs w:val="22"/>
                <w:lang w:val="en-US"/>
              </w:rPr>
              <w:t>Overall results framework established</w:t>
            </w:r>
            <w:r w:rsidR="00534939">
              <w:rPr>
                <w:rFonts w:ascii="Arial" w:hAnsi="Arial" w:cs="Arial"/>
                <w:sz w:val="22"/>
                <w:szCs w:val="22"/>
                <w:lang w:val="en-US"/>
              </w:rPr>
              <w:t xml:space="preserve"> through intergovernmental consultation processes</w:t>
            </w:r>
            <w:r w:rsidRPr="0076485E">
              <w:rPr>
                <w:rFonts w:ascii="Arial" w:hAnsi="Arial" w:cs="Arial"/>
                <w:sz w:val="22"/>
                <w:szCs w:val="22"/>
                <w:lang w:val="en-US"/>
              </w:rPr>
              <w:t xml:space="preserve"> and Operational Directives revised to improve the </w:t>
            </w:r>
            <w:r w:rsidR="00AA7D1A">
              <w:rPr>
                <w:rFonts w:ascii="Arial" w:hAnsi="Arial" w:cs="Arial"/>
                <w:sz w:val="22"/>
                <w:szCs w:val="22"/>
                <w:lang w:val="en-US"/>
              </w:rPr>
              <w:t>p</w:t>
            </w:r>
            <w:r w:rsidR="00AA7D1A" w:rsidRPr="0076485E">
              <w:rPr>
                <w:rFonts w:ascii="Arial" w:hAnsi="Arial" w:cs="Arial"/>
                <w:sz w:val="22"/>
                <w:szCs w:val="22"/>
                <w:lang w:val="en-US"/>
              </w:rPr>
              <w:t xml:space="preserve">eriodic </w:t>
            </w:r>
            <w:r w:rsidR="00AA7D1A">
              <w:rPr>
                <w:rFonts w:ascii="Arial" w:hAnsi="Arial" w:cs="Arial"/>
                <w:sz w:val="22"/>
                <w:szCs w:val="22"/>
                <w:lang w:val="en-US"/>
              </w:rPr>
              <w:t>r</w:t>
            </w:r>
            <w:r w:rsidR="00AA7D1A" w:rsidRPr="0076485E">
              <w:rPr>
                <w:rFonts w:ascii="Arial" w:hAnsi="Arial" w:cs="Arial"/>
                <w:sz w:val="22"/>
                <w:szCs w:val="22"/>
                <w:lang w:val="en-US"/>
              </w:rPr>
              <w:t xml:space="preserve">eporting </w:t>
            </w:r>
            <w:r w:rsidRPr="0076485E">
              <w:rPr>
                <w:rFonts w:ascii="Arial" w:hAnsi="Arial" w:cs="Arial"/>
                <w:sz w:val="22"/>
                <w:szCs w:val="22"/>
                <w:lang w:val="en-US"/>
              </w:rPr>
              <w:t>mechanism</w:t>
            </w:r>
          </w:p>
          <w:p w14:paraId="0F8EEE39" w14:textId="77777777" w:rsidR="0076485E" w:rsidRPr="00FF6472" w:rsidRDefault="0076485E"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sidRPr="0076485E">
              <w:rPr>
                <w:rFonts w:ascii="Arial" w:hAnsi="Arial" w:cs="Arial"/>
                <w:sz w:val="22"/>
                <w:szCs w:val="22"/>
                <w:lang w:val="en-US"/>
              </w:rPr>
              <w:t>Creation of three fixed-term posts approved to operationalize the International Assistance mechanism</w:t>
            </w:r>
          </w:p>
          <w:p w14:paraId="1298B2F4" w14:textId="708D2E62" w:rsidR="00052A61" w:rsidRDefault="00AA2823" w:rsidP="00486032">
            <w:pPr>
              <w:pStyle w:val="ListParagraph"/>
              <w:numPr>
                <w:ilvl w:val="0"/>
                <w:numId w:val="6"/>
              </w:numPr>
              <w:spacing w:before="120" w:beforeAutospacing="0" w:after="120" w:afterAutospacing="0"/>
              <w:ind w:left="312" w:hanging="340"/>
              <w:rPr>
                <w:rFonts w:ascii="Arial" w:hAnsi="Arial" w:cs="Arial"/>
                <w:sz w:val="22"/>
                <w:szCs w:val="22"/>
                <w:lang w:val="en-US"/>
              </w:rPr>
            </w:pPr>
            <w:proofErr w:type="gramStart"/>
            <w:r w:rsidRPr="00FF6472">
              <w:rPr>
                <w:rFonts w:ascii="Arial" w:hAnsi="Arial" w:cs="Arial"/>
                <w:sz w:val="22"/>
                <w:szCs w:val="22"/>
                <w:lang w:val="en-US"/>
              </w:rPr>
              <w:t>5</w:t>
            </w:r>
            <w:r w:rsidR="00534939">
              <w:rPr>
                <w:rFonts w:ascii="Arial" w:hAnsi="Arial" w:cs="Arial"/>
                <w:sz w:val="22"/>
                <w:szCs w:val="22"/>
                <w:lang w:val="en-US"/>
              </w:rPr>
              <w:t>7</w:t>
            </w:r>
            <w:proofErr w:type="gramEnd"/>
            <w:r w:rsidRPr="00FF6472">
              <w:rPr>
                <w:rFonts w:ascii="Arial" w:hAnsi="Arial" w:cs="Arial"/>
                <w:sz w:val="22"/>
                <w:szCs w:val="22"/>
                <w:lang w:val="en-US"/>
              </w:rPr>
              <w:t xml:space="preserve"> nomination files </w:t>
            </w:r>
            <w:r w:rsidR="00534939">
              <w:rPr>
                <w:rFonts w:ascii="Arial" w:hAnsi="Arial" w:cs="Arial"/>
                <w:sz w:val="22"/>
                <w:szCs w:val="22"/>
                <w:lang w:val="en-US"/>
              </w:rPr>
              <w:t>submitted from 57 States Parties</w:t>
            </w:r>
            <w:r w:rsidRPr="00FF6472">
              <w:rPr>
                <w:rFonts w:ascii="Arial" w:hAnsi="Arial" w:cs="Arial"/>
                <w:sz w:val="22"/>
                <w:szCs w:val="22"/>
                <w:lang w:val="en-US"/>
              </w:rPr>
              <w:t xml:space="preserve"> </w:t>
            </w:r>
            <w:r w:rsidRPr="00AA2823">
              <w:rPr>
                <w:rFonts w:ascii="Arial" w:hAnsi="Arial" w:cs="Arial"/>
                <w:sz w:val="22"/>
                <w:szCs w:val="22"/>
                <w:lang w:val="en-US"/>
              </w:rPr>
              <w:t>for the 2018 cycle and 5</w:t>
            </w:r>
            <w:r w:rsidR="00534939">
              <w:rPr>
                <w:rFonts w:ascii="Arial" w:hAnsi="Arial" w:cs="Arial"/>
                <w:sz w:val="22"/>
                <w:szCs w:val="22"/>
                <w:lang w:val="en-US"/>
              </w:rPr>
              <w:t>5</w:t>
            </w:r>
            <w:r w:rsidRPr="00FF6472">
              <w:rPr>
                <w:rFonts w:ascii="Arial" w:hAnsi="Arial" w:cs="Arial"/>
                <w:sz w:val="22"/>
                <w:szCs w:val="22"/>
                <w:lang w:val="en-US"/>
              </w:rPr>
              <w:t xml:space="preserve"> nomination files</w:t>
            </w:r>
            <w:r w:rsidR="00534939">
              <w:rPr>
                <w:rFonts w:ascii="Arial" w:hAnsi="Arial" w:cs="Arial"/>
                <w:sz w:val="22"/>
                <w:szCs w:val="22"/>
                <w:lang w:val="en-US"/>
              </w:rPr>
              <w:t xml:space="preserve"> from 64</w:t>
            </w:r>
            <w:r w:rsidRPr="00FF6472">
              <w:rPr>
                <w:rFonts w:ascii="Arial" w:hAnsi="Arial" w:cs="Arial"/>
                <w:sz w:val="22"/>
                <w:szCs w:val="22"/>
                <w:lang w:val="en-US"/>
              </w:rPr>
              <w:t xml:space="preserve"> </w:t>
            </w:r>
            <w:r w:rsidR="00534939">
              <w:rPr>
                <w:rFonts w:ascii="Arial" w:hAnsi="Arial" w:cs="Arial"/>
                <w:sz w:val="22"/>
                <w:szCs w:val="22"/>
                <w:lang w:val="en-US"/>
              </w:rPr>
              <w:t xml:space="preserve">States </w:t>
            </w:r>
            <w:r w:rsidRPr="00FF6472">
              <w:rPr>
                <w:rFonts w:ascii="Arial" w:hAnsi="Arial" w:cs="Arial"/>
                <w:sz w:val="22"/>
                <w:szCs w:val="22"/>
                <w:lang w:val="en-US"/>
              </w:rPr>
              <w:t xml:space="preserve">were </w:t>
            </w:r>
            <w:r w:rsidR="00534939">
              <w:rPr>
                <w:rFonts w:ascii="Arial" w:hAnsi="Arial" w:cs="Arial"/>
                <w:sz w:val="22"/>
                <w:szCs w:val="22"/>
                <w:lang w:val="en-US"/>
              </w:rPr>
              <w:t>submitted</w:t>
            </w:r>
            <w:r w:rsidRPr="00FF6472">
              <w:rPr>
                <w:rFonts w:ascii="Arial" w:hAnsi="Arial" w:cs="Arial"/>
                <w:sz w:val="22"/>
                <w:szCs w:val="22"/>
                <w:lang w:val="en-US"/>
              </w:rPr>
              <w:t xml:space="preserve"> </w:t>
            </w:r>
            <w:r w:rsidRPr="00405E60">
              <w:rPr>
                <w:rFonts w:ascii="Arial" w:hAnsi="Arial" w:cs="Arial"/>
                <w:sz w:val="22"/>
                <w:szCs w:val="22"/>
                <w:lang w:val="en-US"/>
              </w:rPr>
              <w:t>for the 2019 cycle</w:t>
            </w:r>
            <w:r w:rsidRPr="00FF6472">
              <w:rPr>
                <w:rFonts w:ascii="Arial" w:hAnsi="Arial" w:cs="Arial"/>
                <w:sz w:val="22"/>
                <w:szCs w:val="22"/>
                <w:lang w:val="en-US"/>
              </w:rPr>
              <w:t>.</w:t>
            </w:r>
          </w:p>
          <w:p w14:paraId="31599017" w14:textId="3513DFD8" w:rsidR="00AA2823" w:rsidRPr="00FF6472" w:rsidRDefault="00AA2823"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Pr>
                <w:rFonts w:ascii="Arial" w:hAnsi="Arial" w:cs="Arial"/>
                <w:sz w:val="22"/>
                <w:szCs w:val="22"/>
                <w:lang w:val="en-US"/>
              </w:rPr>
              <w:t>6 statutory meetings organized</w:t>
            </w:r>
          </w:p>
          <w:p w14:paraId="7955CB8F" w14:textId="5FEC9839" w:rsidR="00F0515A" w:rsidRPr="00FF6472" w:rsidRDefault="0076485E" w:rsidP="00486032">
            <w:pPr>
              <w:pStyle w:val="ListParagraph"/>
              <w:numPr>
                <w:ilvl w:val="0"/>
                <w:numId w:val="6"/>
              </w:numPr>
              <w:spacing w:before="120" w:beforeAutospacing="0" w:after="120" w:afterAutospacing="0"/>
              <w:ind w:left="312" w:hanging="340"/>
              <w:rPr>
                <w:rFonts w:ascii="Arial" w:hAnsi="Arial" w:cs="Arial"/>
                <w:sz w:val="22"/>
                <w:szCs w:val="22"/>
                <w:lang w:val="en-US"/>
              </w:rPr>
            </w:pPr>
            <w:r w:rsidRPr="0076485E">
              <w:rPr>
                <w:rFonts w:ascii="Arial" w:hAnsi="Arial" w:cs="Arial"/>
                <w:sz w:val="22"/>
                <w:szCs w:val="22"/>
                <w:lang w:val="en-US"/>
              </w:rPr>
              <w:t>Analysis underway concerning 32 reports on the implementation of the Convention and the status of elements inscribed on the Representative List submitted by States Parties for the 2018 cycle, in addition to 16 reports on the status of elements inscribed on the Urgent Safeguarding List</w:t>
            </w:r>
          </w:p>
        </w:tc>
      </w:tr>
    </w:tbl>
    <w:p w14:paraId="2007C6D1" w14:textId="77777777" w:rsidR="009E55F7" w:rsidRDefault="009E55F7" w:rsidP="009E55F7">
      <w:pPr>
        <w:spacing w:after="120"/>
        <w:ind w:left="360" w:hanging="360"/>
        <w:jc w:val="both"/>
        <w:rPr>
          <w:rFonts w:ascii="Arial" w:eastAsia="Malgun Gothic" w:hAnsi="Arial" w:cs="Arial"/>
          <w:snapToGrid w:val="0"/>
          <w:sz w:val="22"/>
          <w:szCs w:val="22"/>
          <w:highlight w:val="cyan"/>
          <w:lang w:val="en-GB" w:eastAsia="ko-KR"/>
        </w:rPr>
      </w:pPr>
    </w:p>
    <w:tbl>
      <w:tblPr>
        <w:tblStyle w:val="TableGrid2"/>
        <w:tblW w:w="14572" w:type="dxa"/>
        <w:tblLook w:val="04A0" w:firstRow="1" w:lastRow="0" w:firstColumn="1" w:lastColumn="0" w:noHBand="0" w:noVBand="1"/>
      </w:tblPr>
      <w:tblGrid>
        <w:gridCol w:w="3789"/>
        <w:gridCol w:w="10783"/>
      </w:tblGrid>
      <w:tr w:rsidR="00C37F9F" w:rsidRPr="00C16731" w14:paraId="3A78DD9F" w14:textId="77777777" w:rsidTr="007E63DA">
        <w:trPr>
          <w:cantSplit/>
        </w:trPr>
        <w:tc>
          <w:tcPr>
            <w:tcW w:w="1300" w:type="pct"/>
            <w:shd w:val="clear" w:color="auto" w:fill="808080" w:themeFill="background1" w:themeFillShade="80"/>
            <w:vAlign w:val="center"/>
          </w:tcPr>
          <w:p w14:paraId="6562F798" w14:textId="77777777" w:rsidR="00C37F9F" w:rsidRPr="009E55F7" w:rsidRDefault="00C37F9F" w:rsidP="00C37F9F">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39</w:t>
            </w:r>
            <w:r w:rsidRPr="009E55F7">
              <w:rPr>
                <w:rFonts w:ascii="Arial" w:hAnsi="Arial" w:cs="Arial"/>
                <w:b/>
                <w:bCs/>
                <w:color w:val="FFFFFF" w:themeColor="background1"/>
                <w:sz w:val="22"/>
                <w:szCs w:val="22"/>
                <w:lang w:val="en-GB"/>
              </w:rPr>
              <w:t>C/5 Performance Indicator </w:t>
            </w:r>
            <w:r>
              <w:rPr>
                <w:rFonts w:ascii="Arial" w:hAnsi="Arial" w:cs="Arial"/>
                <w:b/>
                <w:bCs/>
                <w:color w:val="FFFFFF" w:themeColor="background1"/>
                <w:sz w:val="22"/>
                <w:szCs w:val="22"/>
                <w:lang w:val="en-GB"/>
              </w:rPr>
              <w:t>2</w:t>
            </w:r>
          </w:p>
        </w:tc>
        <w:tc>
          <w:tcPr>
            <w:tcW w:w="3700" w:type="pct"/>
            <w:shd w:val="clear" w:color="auto" w:fill="808080" w:themeFill="background1" w:themeFillShade="80"/>
            <w:vAlign w:val="center"/>
          </w:tcPr>
          <w:p w14:paraId="20C180DA" w14:textId="77777777" w:rsidR="00C37F9F" w:rsidRPr="009E55F7" w:rsidRDefault="00C37F9F" w:rsidP="00AE41F3">
            <w:pPr>
              <w:keepNext/>
              <w:spacing w:before="120" w:after="120"/>
              <w:rPr>
                <w:rFonts w:ascii="Arial" w:hAnsi="Arial" w:cs="Arial"/>
                <w:b/>
                <w:bCs/>
                <w:color w:val="FFFFFF" w:themeColor="background1"/>
                <w:sz w:val="22"/>
                <w:szCs w:val="22"/>
                <w:lang w:val="en-GB"/>
              </w:rPr>
            </w:pPr>
            <w:r w:rsidRPr="001B0E44">
              <w:rPr>
                <w:rFonts w:ascii="Arial" w:hAnsi="Arial" w:cs="Arial"/>
                <w:b/>
                <w:bCs/>
                <w:color w:val="FFFFFF" w:themeColor="background1"/>
                <w:sz w:val="22"/>
                <w:szCs w:val="22"/>
                <w:lang w:val="en-GB"/>
              </w:rPr>
              <w:t>Number of supported Member States utilizing strengthened human and institutional resources for the safeguarding of intangible cultural heritage</w:t>
            </w:r>
          </w:p>
        </w:tc>
      </w:tr>
    </w:tbl>
    <w:tbl>
      <w:tblPr>
        <w:tblW w:w="1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4"/>
        <w:gridCol w:w="1961"/>
        <w:gridCol w:w="7137"/>
      </w:tblGrid>
      <w:tr w:rsidR="00C37F9F" w:rsidRPr="009E55F7" w14:paraId="521E814A" w14:textId="77777777" w:rsidTr="00B8764B">
        <w:trPr>
          <w:tblHeader/>
        </w:trPr>
        <w:tc>
          <w:tcPr>
            <w:tcW w:w="1300" w:type="pct"/>
            <w:shd w:val="clear" w:color="auto" w:fill="D9D9D9" w:themeFill="background1" w:themeFillShade="D9"/>
            <w:vAlign w:val="center"/>
          </w:tcPr>
          <w:p w14:paraId="49DAFFF7" w14:textId="77777777" w:rsidR="00C37F9F" w:rsidRPr="009E55F7" w:rsidRDefault="00C37F9F" w:rsidP="003F3C3D">
            <w:pPr>
              <w:spacing w:before="60" w:after="60"/>
              <w:jc w:val="center"/>
              <w:rPr>
                <w:rFonts w:ascii="Arial" w:eastAsia="Calibri" w:hAnsi="Arial" w:cs="Arial"/>
                <w:b/>
                <w:sz w:val="20"/>
                <w:szCs w:val="20"/>
                <w:lang w:val="en-GB"/>
              </w:rPr>
            </w:pPr>
            <w:r w:rsidRPr="00F0515A">
              <w:rPr>
                <w:rFonts w:ascii="Arial" w:eastAsia="Calibri" w:hAnsi="Arial" w:cs="Arial"/>
                <w:b/>
                <w:sz w:val="20"/>
                <w:szCs w:val="20"/>
                <w:lang w:val="en-GB"/>
              </w:rPr>
              <w:t>Assessed according to the following:</w:t>
            </w:r>
          </w:p>
        </w:tc>
        <w:tc>
          <w:tcPr>
            <w:tcW w:w="578" w:type="pct"/>
            <w:shd w:val="clear" w:color="auto" w:fill="D9D9D9" w:themeFill="background1" w:themeFillShade="D9"/>
            <w:vAlign w:val="center"/>
          </w:tcPr>
          <w:p w14:paraId="719A9373" w14:textId="77777777" w:rsidR="00C37F9F" w:rsidRPr="00B8764B" w:rsidRDefault="00C37F9F" w:rsidP="003F3C3D">
            <w:pPr>
              <w:spacing w:before="60" w:after="60"/>
              <w:jc w:val="center"/>
              <w:rPr>
                <w:rFonts w:ascii="Arial" w:eastAsia="Calibri" w:hAnsi="Arial" w:cs="Arial"/>
                <w:b/>
                <w:sz w:val="20"/>
                <w:szCs w:val="20"/>
                <w:lang w:val="en-US"/>
              </w:rPr>
            </w:pPr>
            <w:r w:rsidRPr="00B8764B">
              <w:rPr>
                <w:rFonts w:ascii="Arial" w:hAnsi="Arial" w:cs="Arial"/>
                <w:b/>
                <w:bCs/>
                <w:sz w:val="20"/>
                <w:szCs w:val="20"/>
                <w:lang w:val="en-US"/>
              </w:rPr>
              <w:t>Baselines</w:t>
            </w:r>
          </w:p>
        </w:tc>
        <w:tc>
          <w:tcPr>
            <w:tcW w:w="673" w:type="pct"/>
            <w:shd w:val="clear" w:color="auto" w:fill="D9D9D9" w:themeFill="background1" w:themeFillShade="D9"/>
            <w:vAlign w:val="center"/>
          </w:tcPr>
          <w:p w14:paraId="5217921F" w14:textId="77777777" w:rsidR="00C37F9F" w:rsidRPr="009E55F7" w:rsidRDefault="00C37F9F" w:rsidP="003F3C3D">
            <w:pPr>
              <w:spacing w:before="60" w:after="60"/>
              <w:jc w:val="center"/>
              <w:rPr>
                <w:rFonts w:ascii="Arial" w:eastAsia="Calibri" w:hAnsi="Arial" w:cs="Arial"/>
                <w:b/>
                <w:sz w:val="20"/>
                <w:szCs w:val="20"/>
                <w:lang w:val="en-GB"/>
              </w:rPr>
            </w:pPr>
            <w:r w:rsidRPr="009E55F7">
              <w:rPr>
                <w:rFonts w:ascii="Arial" w:eastAsia="Calibri" w:hAnsi="Arial" w:cs="Arial"/>
                <w:b/>
                <w:sz w:val="20"/>
                <w:szCs w:val="20"/>
                <w:lang w:val="en-GB"/>
              </w:rPr>
              <w:t>Target</w:t>
            </w:r>
            <w:r>
              <w:rPr>
                <w:rFonts w:ascii="Arial" w:eastAsia="Calibri" w:hAnsi="Arial" w:cs="Arial"/>
                <w:b/>
                <w:sz w:val="20"/>
                <w:szCs w:val="20"/>
                <w:lang w:val="en-GB"/>
              </w:rPr>
              <w:t>s 2018-2019</w:t>
            </w:r>
          </w:p>
        </w:tc>
        <w:tc>
          <w:tcPr>
            <w:tcW w:w="2449" w:type="pct"/>
            <w:shd w:val="clear" w:color="auto" w:fill="D9D9D9" w:themeFill="background1" w:themeFillShade="D9"/>
            <w:vAlign w:val="center"/>
          </w:tcPr>
          <w:p w14:paraId="6D4D861A" w14:textId="37C8B772" w:rsidR="00C37F9F" w:rsidRPr="009E55F7" w:rsidRDefault="00C37F9F" w:rsidP="003F3C3D">
            <w:pPr>
              <w:autoSpaceDE w:val="0"/>
              <w:autoSpaceDN w:val="0"/>
              <w:adjustRightInd w:val="0"/>
              <w:jc w:val="center"/>
              <w:rPr>
                <w:rFonts w:ascii="Arial" w:eastAsia="Calibri" w:hAnsi="Arial" w:cs="Arial"/>
                <w:b/>
                <w:color w:val="000000"/>
                <w:sz w:val="20"/>
                <w:szCs w:val="20"/>
                <w:lang w:val="en-GB"/>
              </w:rPr>
            </w:pPr>
            <w:r w:rsidRPr="009E55F7">
              <w:rPr>
                <w:rFonts w:ascii="Arial" w:eastAsia="Calibri" w:hAnsi="Arial" w:cs="Arial"/>
                <w:b/>
                <w:sz w:val="20"/>
                <w:szCs w:val="20"/>
                <w:lang w:val="en-GB"/>
              </w:rPr>
              <w:t>Assessment of progress:</w:t>
            </w:r>
            <w:r w:rsidRPr="009E55F7">
              <w:rPr>
                <w:rFonts w:ascii="Arial" w:eastAsia="Calibri" w:hAnsi="Arial" w:cs="Arial"/>
                <w:b/>
                <w:sz w:val="20"/>
                <w:szCs w:val="20"/>
                <w:lang w:val="en-GB"/>
              </w:rPr>
              <w:br/>
              <w:t>01/01/201</w:t>
            </w:r>
            <w:r>
              <w:rPr>
                <w:rFonts w:ascii="Arial" w:eastAsia="Calibri" w:hAnsi="Arial" w:cs="Arial"/>
                <w:b/>
                <w:sz w:val="20"/>
                <w:szCs w:val="20"/>
                <w:lang w:val="en-GB"/>
              </w:rPr>
              <w:t>8</w:t>
            </w:r>
            <w:r w:rsidRPr="009E55F7">
              <w:rPr>
                <w:rFonts w:ascii="Arial" w:eastAsia="Calibri" w:hAnsi="Arial" w:cs="Arial"/>
                <w:b/>
                <w:sz w:val="20"/>
                <w:szCs w:val="20"/>
                <w:lang w:val="en-GB"/>
              </w:rPr>
              <w:t xml:space="preserve"> to 30/06/201</w:t>
            </w:r>
            <w:r>
              <w:rPr>
                <w:rFonts w:ascii="Arial" w:eastAsia="Calibri" w:hAnsi="Arial" w:cs="Arial"/>
                <w:b/>
                <w:sz w:val="20"/>
                <w:szCs w:val="20"/>
                <w:lang w:val="en-GB"/>
              </w:rPr>
              <w:t>8</w:t>
            </w:r>
          </w:p>
        </w:tc>
      </w:tr>
      <w:tr w:rsidR="00C37F9F" w:rsidRPr="00C16731" w14:paraId="528DAAD6" w14:textId="77777777" w:rsidTr="00B8764B">
        <w:tc>
          <w:tcPr>
            <w:tcW w:w="1300" w:type="pct"/>
          </w:tcPr>
          <w:p w14:paraId="7752D8CF" w14:textId="77777777" w:rsidR="00147526" w:rsidRPr="00147526" w:rsidRDefault="00147526"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147526">
              <w:rPr>
                <w:rFonts w:ascii="Arial" w:hAnsi="Arial" w:cs="Arial"/>
                <w:sz w:val="22"/>
                <w:szCs w:val="22"/>
                <w:lang w:val="en-US"/>
              </w:rPr>
              <w:t xml:space="preserve">Strengthened or newly established institutional frameworks for the safeguarding of intangible </w:t>
            </w:r>
            <w:r>
              <w:rPr>
                <w:rFonts w:ascii="Arial" w:hAnsi="Arial" w:cs="Arial"/>
                <w:sz w:val="22"/>
                <w:szCs w:val="22"/>
                <w:lang w:val="en-US"/>
              </w:rPr>
              <w:t>cultural heritage</w:t>
            </w:r>
          </w:p>
          <w:p w14:paraId="405470BD" w14:textId="77777777" w:rsidR="00C37F9F" w:rsidRPr="00F0515A" w:rsidRDefault="00147526"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Pr>
                <w:rFonts w:ascii="Arial" w:hAnsi="Arial" w:cs="Arial"/>
                <w:sz w:val="22"/>
                <w:szCs w:val="22"/>
                <w:lang w:val="en-GB"/>
              </w:rPr>
              <w:t>C</w:t>
            </w:r>
            <w:proofErr w:type="spellStart"/>
            <w:r w:rsidRPr="00147526">
              <w:rPr>
                <w:rFonts w:ascii="Arial" w:hAnsi="Arial" w:cs="Arial"/>
                <w:sz w:val="22"/>
                <w:szCs w:val="22"/>
                <w:lang w:val="en-US"/>
              </w:rPr>
              <w:t>ommunity</w:t>
            </w:r>
            <w:proofErr w:type="spellEnd"/>
            <w:r w:rsidRPr="00147526">
              <w:rPr>
                <w:rFonts w:ascii="Arial" w:hAnsi="Arial" w:cs="Arial"/>
                <w:sz w:val="22"/>
                <w:szCs w:val="22"/>
                <w:lang w:val="en-US"/>
              </w:rPr>
              <w:t>-based approaches adopted or strengthened for inventorying intangible cultural heritage or developing safeguarding plans, including those reflecting a gender-sensitive approach</w:t>
            </w:r>
          </w:p>
        </w:tc>
        <w:tc>
          <w:tcPr>
            <w:tcW w:w="578" w:type="pct"/>
            <w:shd w:val="clear" w:color="auto" w:fill="auto"/>
          </w:tcPr>
          <w:p w14:paraId="0275E01A" w14:textId="4D765F74" w:rsidR="00C37F9F" w:rsidRPr="00147526" w:rsidRDefault="00147526" w:rsidP="00B8764B">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147526">
              <w:rPr>
                <w:rFonts w:ascii="Arial" w:eastAsia="SimSun" w:hAnsi="Arial" w:cs="Arial"/>
                <w:iCs/>
                <w:sz w:val="22"/>
                <w:szCs w:val="22"/>
                <w:lang w:val="en-US"/>
              </w:rPr>
              <w:t>70, of which 30 in Africa and 5 SIDS</w:t>
            </w:r>
            <w:r w:rsidR="00B8764B">
              <w:rPr>
                <w:rFonts w:ascii="Arial" w:eastAsia="SimSun" w:hAnsi="Arial" w:cs="Arial"/>
                <w:iCs/>
                <w:sz w:val="22"/>
                <w:szCs w:val="22"/>
                <w:lang w:val="en-US"/>
              </w:rPr>
              <w:t xml:space="preserve"> (Small Island Developing States)</w:t>
            </w:r>
          </w:p>
        </w:tc>
        <w:tc>
          <w:tcPr>
            <w:tcW w:w="673" w:type="pct"/>
            <w:shd w:val="clear" w:color="auto" w:fill="auto"/>
          </w:tcPr>
          <w:p w14:paraId="7F22E5F6" w14:textId="2D7475FF" w:rsidR="00C37F9F" w:rsidRPr="009E55F7" w:rsidRDefault="00C37F9F"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1B0E44">
              <w:rPr>
                <w:rFonts w:ascii="Arial" w:eastAsia="SimSun" w:hAnsi="Arial" w:cs="Arial"/>
                <w:iCs/>
                <w:sz w:val="22"/>
                <w:szCs w:val="22"/>
                <w:lang w:val="en-US"/>
              </w:rPr>
              <w:t>55 of which 25 in</w:t>
            </w:r>
            <w:r>
              <w:rPr>
                <w:rFonts w:ascii="Arial" w:eastAsia="SimSun" w:hAnsi="Arial" w:cs="Arial"/>
                <w:iCs/>
                <w:sz w:val="22"/>
                <w:szCs w:val="22"/>
                <w:lang w:val="en-US"/>
              </w:rPr>
              <w:t xml:space="preserve"> </w:t>
            </w:r>
            <w:r w:rsidRPr="001B0E44">
              <w:rPr>
                <w:rFonts w:ascii="Arial" w:eastAsia="SimSun" w:hAnsi="Arial" w:cs="Arial"/>
                <w:iCs/>
                <w:sz w:val="22"/>
                <w:szCs w:val="22"/>
                <w:lang w:val="en-US"/>
              </w:rPr>
              <w:t>Africa and 10 SIDS</w:t>
            </w:r>
          </w:p>
        </w:tc>
        <w:tc>
          <w:tcPr>
            <w:tcW w:w="2449" w:type="pct"/>
          </w:tcPr>
          <w:p w14:paraId="4AF2C54D" w14:textId="73395DC9" w:rsidR="00C37F9F" w:rsidRDefault="0076485E"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proofErr w:type="gramStart"/>
            <w:r w:rsidRPr="0076485E">
              <w:rPr>
                <w:rFonts w:ascii="Arial" w:eastAsia="SimSun" w:hAnsi="Arial" w:cs="Arial"/>
                <w:iCs/>
                <w:sz w:val="22"/>
                <w:szCs w:val="22"/>
                <w:lang w:val="en-US"/>
              </w:rPr>
              <w:t>69</w:t>
            </w:r>
            <w:proofErr w:type="gramEnd"/>
            <w:r w:rsidRPr="0076485E">
              <w:rPr>
                <w:rFonts w:ascii="Arial" w:eastAsia="SimSun" w:hAnsi="Arial" w:cs="Arial"/>
                <w:iCs/>
                <w:sz w:val="22"/>
                <w:szCs w:val="22"/>
                <w:lang w:val="en-US"/>
              </w:rPr>
              <w:t xml:space="preserve"> Member States</w:t>
            </w:r>
            <w:r w:rsidR="00534939" w:rsidRPr="0076485E">
              <w:rPr>
                <w:rFonts w:ascii="Arial" w:eastAsia="SimSun" w:hAnsi="Arial" w:cs="Arial"/>
                <w:iCs/>
                <w:sz w:val="22"/>
                <w:szCs w:val="22"/>
                <w:lang w:val="en-US"/>
              </w:rPr>
              <w:t xml:space="preserve"> supported</w:t>
            </w:r>
            <w:r w:rsidRPr="0076485E">
              <w:rPr>
                <w:rFonts w:ascii="Arial" w:eastAsia="SimSun" w:hAnsi="Arial" w:cs="Arial"/>
                <w:iCs/>
                <w:sz w:val="22"/>
                <w:szCs w:val="22"/>
                <w:lang w:val="en-US"/>
              </w:rPr>
              <w:t xml:space="preserve">, </w:t>
            </w:r>
            <w:r w:rsidR="00CB0E4E">
              <w:rPr>
                <w:rFonts w:ascii="Arial" w:eastAsia="SimSun" w:hAnsi="Arial" w:cs="Arial"/>
                <w:iCs/>
                <w:sz w:val="22"/>
                <w:szCs w:val="22"/>
                <w:lang w:val="en-US"/>
              </w:rPr>
              <w:t>including</w:t>
            </w:r>
            <w:r w:rsidRPr="0076485E">
              <w:rPr>
                <w:rFonts w:ascii="Arial" w:eastAsia="SimSun" w:hAnsi="Arial" w:cs="Arial"/>
                <w:iCs/>
                <w:sz w:val="22"/>
                <w:szCs w:val="22"/>
                <w:lang w:val="en-US"/>
              </w:rPr>
              <w:t xml:space="preserve"> 27 in Africa and 12 SIDS. Of these, 28 </w:t>
            </w:r>
            <w:r w:rsidR="00CB0E4E">
              <w:rPr>
                <w:rFonts w:ascii="Arial" w:eastAsia="SimSun" w:hAnsi="Arial" w:cs="Arial"/>
                <w:iCs/>
                <w:sz w:val="22"/>
                <w:szCs w:val="22"/>
                <w:lang w:val="en-US"/>
              </w:rPr>
              <w:t>adopted</w:t>
            </w:r>
            <w:r w:rsidR="00CB0E4E" w:rsidRPr="0076485E">
              <w:rPr>
                <w:rFonts w:ascii="Arial" w:eastAsia="SimSun" w:hAnsi="Arial" w:cs="Arial"/>
                <w:iCs/>
                <w:sz w:val="22"/>
                <w:szCs w:val="22"/>
                <w:lang w:val="en-US"/>
              </w:rPr>
              <w:t xml:space="preserve"> </w:t>
            </w:r>
            <w:r w:rsidRPr="0076485E">
              <w:rPr>
                <w:rFonts w:ascii="Arial" w:eastAsia="SimSun" w:hAnsi="Arial" w:cs="Arial"/>
                <w:iCs/>
                <w:sz w:val="22"/>
                <w:szCs w:val="22"/>
                <w:lang w:val="en-US"/>
              </w:rPr>
              <w:t>a gender-sensitive approach, while 13 were gender</w:t>
            </w:r>
            <w:r w:rsidR="00CB0E4E">
              <w:rPr>
                <w:rFonts w:ascii="Arial" w:eastAsia="SimSun" w:hAnsi="Arial" w:cs="Arial"/>
                <w:iCs/>
                <w:sz w:val="22"/>
                <w:szCs w:val="22"/>
                <w:lang w:val="en-US"/>
              </w:rPr>
              <w:t>-</w:t>
            </w:r>
            <w:r w:rsidRPr="0076485E">
              <w:rPr>
                <w:rFonts w:ascii="Arial" w:eastAsia="SimSun" w:hAnsi="Arial" w:cs="Arial"/>
                <w:iCs/>
                <w:sz w:val="22"/>
                <w:szCs w:val="22"/>
                <w:lang w:val="en-US"/>
              </w:rPr>
              <w:t>responsive</w:t>
            </w:r>
          </w:p>
          <w:p w14:paraId="740232E7" w14:textId="7ACFCF58" w:rsidR="00E63750" w:rsidRDefault="00577449" w:rsidP="00577449">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577449">
              <w:rPr>
                <w:rFonts w:ascii="Arial" w:eastAsia="SimSun" w:hAnsi="Arial" w:cs="Arial"/>
                <w:iCs/>
                <w:sz w:val="22"/>
                <w:szCs w:val="22"/>
                <w:lang w:val="en-US"/>
              </w:rPr>
              <w:t xml:space="preserve">23 Member States </w:t>
            </w:r>
            <w:r w:rsidR="00534939" w:rsidRPr="00577449">
              <w:rPr>
                <w:rFonts w:ascii="Arial" w:eastAsia="SimSun" w:hAnsi="Arial" w:cs="Arial"/>
                <w:iCs/>
                <w:sz w:val="22"/>
                <w:szCs w:val="22"/>
                <w:lang w:val="en-US"/>
              </w:rPr>
              <w:t xml:space="preserve">supported </w:t>
            </w:r>
            <w:r w:rsidRPr="00577449">
              <w:rPr>
                <w:rFonts w:ascii="Arial" w:eastAsia="SimSun" w:hAnsi="Arial" w:cs="Arial"/>
                <w:iCs/>
                <w:sz w:val="22"/>
                <w:szCs w:val="22"/>
                <w:lang w:val="en-US"/>
              </w:rPr>
              <w:t>in the field of policy advice, of which 13 in Africa and 5 SIDS</w:t>
            </w:r>
          </w:p>
          <w:p w14:paraId="78DD0820" w14:textId="11524F65" w:rsidR="00577449" w:rsidRPr="009E55F7" w:rsidRDefault="00577449">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Pr>
                <w:rFonts w:ascii="Arial" w:eastAsia="SimSun" w:hAnsi="Arial" w:cs="Arial"/>
                <w:iCs/>
                <w:sz w:val="22"/>
                <w:szCs w:val="22"/>
                <w:lang w:val="en-US"/>
              </w:rPr>
              <w:t>40</w:t>
            </w:r>
            <w:r w:rsidRPr="00577449">
              <w:rPr>
                <w:rFonts w:ascii="Arial" w:eastAsia="SimSun" w:hAnsi="Arial" w:cs="Arial"/>
                <w:iCs/>
                <w:sz w:val="22"/>
                <w:szCs w:val="22"/>
                <w:lang w:val="en-US"/>
              </w:rPr>
              <w:t xml:space="preserve"> </w:t>
            </w:r>
            <w:r w:rsidRPr="00405E60">
              <w:rPr>
                <w:rFonts w:ascii="Arial" w:eastAsia="SimSun" w:hAnsi="Arial" w:cs="Arial"/>
                <w:iCs/>
                <w:sz w:val="22"/>
                <w:szCs w:val="22"/>
                <w:lang w:val="en-US"/>
              </w:rPr>
              <w:t>Member States</w:t>
            </w:r>
            <w:r w:rsidRPr="00577449">
              <w:rPr>
                <w:rFonts w:ascii="Arial" w:eastAsia="SimSun" w:hAnsi="Arial" w:cs="Arial"/>
                <w:iCs/>
                <w:sz w:val="22"/>
                <w:szCs w:val="22"/>
                <w:lang w:val="en-US"/>
              </w:rPr>
              <w:t xml:space="preserve"> </w:t>
            </w:r>
            <w:r w:rsidR="00534939" w:rsidRPr="00405E60">
              <w:rPr>
                <w:rFonts w:ascii="Arial" w:eastAsia="SimSun" w:hAnsi="Arial" w:cs="Arial"/>
                <w:iCs/>
                <w:sz w:val="22"/>
                <w:szCs w:val="22"/>
                <w:lang w:val="en-US"/>
              </w:rPr>
              <w:t>supported</w:t>
            </w:r>
            <w:r w:rsidR="00534939" w:rsidRPr="00577449">
              <w:rPr>
                <w:rFonts w:ascii="Arial" w:eastAsia="SimSun" w:hAnsi="Arial" w:cs="Arial"/>
                <w:iCs/>
                <w:sz w:val="22"/>
                <w:szCs w:val="22"/>
                <w:lang w:val="en-US"/>
              </w:rPr>
              <w:t xml:space="preserve"> </w:t>
            </w:r>
            <w:r w:rsidRPr="00577449">
              <w:rPr>
                <w:rFonts w:ascii="Arial" w:eastAsia="SimSun" w:hAnsi="Arial" w:cs="Arial"/>
                <w:iCs/>
                <w:sz w:val="22"/>
                <w:szCs w:val="22"/>
                <w:lang w:val="en-US"/>
              </w:rPr>
              <w:t>through multi-year projects capacity-building projects</w:t>
            </w:r>
          </w:p>
        </w:tc>
      </w:tr>
    </w:tbl>
    <w:p w14:paraId="1FDFAD49" w14:textId="77777777" w:rsidR="00C37F9F" w:rsidRPr="00A71444" w:rsidRDefault="00C37F9F" w:rsidP="00C37F9F">
      <w:pPr>
        <w:spacing w:after="120"/>
        <w:ind w:left="360" w:hanging="360"/>
        <w:jc w:val="both"/>
        <w:rPr>
          <w:rFonts w:ascii="Arial" w:eastAsia="Malgun Gothic" w:hAnsi="Arial" w:cs="Arial"/>
          <w:snapToGrid w:val="0"/>
          <w:sz w:val="20"/>
          <w:szCs w:val="20"/>
          <w:highlight w:val="cyan"/>
          <w:lang w:val="en-GB" w:eastAsia="ko-KR"/>
        </w:rPr>
      </w:pPr>
    </w:p>
    <w:tbl>
      <w:tblPr>
        <w:tblStyle w:val="TableGrid2"/>
        <w:tblW w:w="14572" w:type="dxa"/>
        <w:tblLook w:val="04A0" w:firstRow="1" w:lastRow="0" w:firstColumn="1" w:lastColumn="0" w:noHBand="0" w:noVBand="1"/>
      </w:tblPr>
      <w:tblGrid>
        <w:gridCol w:w="3789"/>
        <w:gridCol w:w="10783"/>
      </w:tblGrid>
      <w:tr w:rsidR="00C37F9F" w:rsidRPr="00C16731" w14:paraId="35C5C6B3" w14:textId="77777777" w:rsidTr="007E63DA">
        <w:trPr>
          <w:cantSplit/>
        </w:trPr>
        <w:tc>
          <w:tcPr>
            <w:tcW w:w="1300" w:type="pct"/>
            <w:shd w:val="clear" w:color="auto" w:fill="808080" w:themeFill="background1" w:themeFillShade="80"/>
            <w:vAlign w:val="center"/>
          </w:tcPr>
          <w:p w14:paraId="63077F51" w14:textId="77777777" w:rsidR="00C37F9F" w:rsidRPr="009E55F7" w:rsidRDefault="00C37F9F" w:rsidP="00AE41F3">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39</w:t>
            </w:r>
            <w:r w:rsidRPr="009E55F7">
              <w:rPr>
                <w:rFonts w:ascii="Arial" w:hAnsi="Arial" w:cs="Arial"/>
                <w:b/>
                <w:bCs/>
                <w:color w:val="FFFFFF" w:themeColor="background1"/>
                <w:sz w:val="22"/>
                <w:szCs w:val="22"/>
                <w:lang w:val="en-GB"/>
              </w:rPr>
              <w:t>C/5 Performance Indicator </w:t>
            </w:r>
            <w:r>
              <w:rPr>
                <w:rFonts w:ascii="Arial" w:hAnsi="Arial" w:cs="Arial"/>
                <w:b/>
                <w:bCs/>
                <w:color w:val="FFFFFF" w:themeColor="background1"/>
                <w:sz w:val="22"/>
                <w:szCs w:val="22"/>
                <w:lang w:val="en-GB"/>
              </w:rPr>
              <w:t>3</w:t>
            </w:r>
          </w:p>
        </w:tc>
        <w:tc>
          <w:tcPr>
            <w:tcW w:w="3700" w:type="pct"/>
            <w:shd w:val="clear" w:color="auto" w:fill="808080" w:themeFill="background1" w:themeFillShade="80"/>
            <w:vAlign w:val="center"/>
          </w:tcPr>
          <w:p w14:paraId="31AC304D" w14:textId="77777777" w:rsidR="00C37F9F" w:rsidRPr="009E55F7" w:rsidRDefault="00C37F9F" w:rsidP="00AE41F3">
            <w:pPr>
              <w:keepNext/>
              <w:spacing w:before="120" w:after="120"/>
              <w:rPr>
                <w:rFonts w:ascii="Arial" w:hAnsi="Arial" w:cs="Arial"/>
                <w:b/>
                <w:bCs/>
                <w:color w:val="FFFFFF" w:themeColor="background1"/>
                <w:sz w:val="22"/>
                <w:szCs w:val="22"/>
                <w:lang w:val="en-GB"/>
              </w:rPr>
            </w:pPr>
            <w:r w:rsidRPr="001B0E44">
              <w:rPr>
                <w:rFonts w:ascii="Arial" w:hAnsi="Arial" w:cs="Arial"/>
                <w:b/>
                <w:bCs/>
                <w:color w:val="FFFFFF" w:themeColor="background1"/>
                <w:sz w:val="22"/>
                <w:szCs w:val="22"/>
                <w:lang w:val="en-GB"/>
              </w:rPr>
              <w:t>Number of supported Member States which have integrated intangible cultural heritage into their plans, policies and programmes, in particular as a contribution towards the achievement of SDGs in a gender-responsive manner</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9E55F7" w14:paraId="1312E3B9" w14:textId="77777777" w:rsidTr="00B8764B">
        <w:trPr>
          <w:tblHeader/>
        </w:trPr>
        <w:tc>
          <w:tcPr>
            <w:tcW w:w="1300" w:type="pct"/>
            <w:shd w:val="clear" w:color="auto" w:fill="D9D9D9" w:themeFill="background1" w:themeFillShade="D9"/>
            <w:vAlign w:val="center"/>
          </w:tcPr>
          <w:p w14:paraId="7F649ADD" w14:textId="77777777" w:rsidR="00C37F9F" w:rsidRPr="009E55F7" w:rsidRDefault="00C37F9F" w:rsidP="003F3C3D">
            <w:pPr>
              <w:spacing w:before="60" w:after="60"/>
              <w:jc w:val="center"/>
              <w:rPr>
                <w:rFonts w:ascii="Arial" w:eastAsia="Calibri" w:hAnsi="Arial" w:cs="Arial"/>
                <w:b/>
                <w:sz w:val="20"/>
                <w:szCs w:val="20"/>
                <w:lang w:val="en-GB"/>
              </w:rPr>
            </w:pPr>
            <w:r w:rsidRPr="00F0515A">
              <w:rPr>
                <w:rFonts w:ascii="Arial" w:eastAsia="Calibri" w:hAnsi="Arial" w:cs="Arial"/>
                <w:b/>
                <w:sz w:val="20"/>
                <w:szCs w:val="20"/>
                <w:lang w:val="en-GB"/>
              </w:rPr>
              <w:t>Assessed according to the following:</w:t>
            </w:r>
          </w:p>
        </w:tc>
        <w:tc>
          <w:tcPr>
            <w:tcW w:w="577" w:type="pct"/>
            <w:shd w:val="clear" w:color="auto" w:fill="D9D9D9" w:themeFill="background1" w:themeFillShade="D9"/>
            <w:vAlign w:val="center"/>
          </w:tcPr>
          <w:p w14:paraId="51960852" w14:textId="77777777" w:rsidR="00C37F9F" w:rsidRPr="00B8764B" w:rsidRDefault="00C37F9F" w:rsidP="00AE41F3">
            <w:pPr>
              <w:spacing w:before="60" w:after="60"/>
              <w:jc w:val="center"/>
              <w:rPr>
                <w:rFonts w:ascii="Arial" w:eastAsia="Calibri" w:hAnsi="Arial" w:cs="Arial"/>
                <w:b/>
                <w:sz w:val="20"/>
                <w:szCs w:val="20"/>
                <w:lang w:val="en-GB"/>
              </w:rPr>
            </w:pPr>
            <w:r w:rsidRPr="00B8764B">
              <w:rPr>
                <w:rFonts w:ascii="Arial" w:hAnsi="Arial" w:cs="Arial"/>
                <w:b/>
                <w:bCs/>
                <w:sz w:val="20"/>
                <w:szCs w:val="20"/>
                <w:lang w:val="en-GB"/>
              </w:rPr>
              <w:t>Baselines</w:t>
            </w:r>
          </w:p>
        </w:tc>
        <w:tc>
          <w:tcPr>
            <w:tcW w:w="673" w:type="pct"/>
            <w:shd w:val="clear" w:color="auto" w:fill="D9D9D9" w:themeFill="background1" w:themeFillShade="D9"/>
            <w:vAlign w:val="center"/>
          </w:tcPr>
          <w:p w14:paraId="03CA0B55" w14:textId="77777777" w:rsidR="00C37F9F" w:rsidRPr="009E55F7" w:rsidRDefault="00C37F9F" w:rsidP="00AE41F3">
            <w:pPr>
              <w:spacing w:before="60" w:after="60"/>
              <w:jc w:val="center"/>
              <w:rPr>
                <w:rFonts w:ascii="Arial" w:eastAsia="Calibri" w:hAnsi="Arial" w:cs="Arial"/>
                <w:b/>
                <w:sz w:val="20"/>
                <w:szCs w:val="20"/>
                <w:lang w:val="en-GB"/>
              </w:rPr>
            </w:pPr>
            <w:r w:rsidRPr="009E55F7">
              <w:rPr>
                <w:rFonts w:ascii="Arial" w:eastAsia="Calibri" w:hAnsi="Arial" w:cs="Arial"/>
                <w:b/>
                <w:sz w:val="20"/>
                <w:szCs w:val="20"/>
                <w:lang w:val="en-GB"/>
              </w:rPr>
              <w:t>Target</w:t>
            </w:r>
            <w:r>
              <w:rPr>
                <w:rFonts w:ascii="Arial" w:eastAsia="Calibri" w:hAnsi="Arial" w:cs="Arial"/>
                <w:b/>
                <w:sz w:val="20"/>
                <w:szCs w:val="20"/>
                <w:lang w:val="en-GB"/>
              </w:rPr>
              <w:t>s 2018-2019</w:t>
            </w:r>
          </w:p>
        </w:tc>
        <w:tc>
          <w:tcPr>
            <w:tcW w:w="2450" w:type="pct"/>
            <w:shd w:val="clear" w:color="auto" w:fill="D9D9D9" w:themeFill="background1" w:themeFillShade="D9"/>
            <w:vAlign w:val="center"/>
          </w:tcPr>
          <w:p w14:paraId="792171AD" w14:textId="77777777" w:rsidR="00C37F9F" w:rsidRPr="009E55F7" w:rsidRDefault="00C37F9F" w:rsidP="00AE41F3">
            <w:pPr>
              <w:autoSpaceDE w:val="0"/>
              <w:autoSpaceDN w:val="0"/>
              <w:adjustRightInd w:val="0"/>
              <w:jc w:val="center"/>
              <w:rPr>
                <w:rFonts w:ascii="Arial" w:eastAsia="Calibri" w:hAnsi="Arial" w:cs="Arial"/>
                <w:b/>
                <w:color w:val="000000"/>
                <w:sz w:val="20"/>
                <w:szCs w:val="20"/>
                <w:lang w:val="en-GB"/>
              </w:rPr>
            </w:pPr>
            <w:r w:rsidRPr="009E55F7">
              <w:rPr>
                <w:rFonts w:ascii="Arial" w:eastAsia="Calibri" w:hAnsi="Arial" w:cs="Arial"/>
                <w:b/>
                <w:sz w:val="20"/>
                <w:szCs w:val="20"/>
                <w:lang w:val="en-GB"/>
              </w:rPr>
              <w:t>Assessment of progress:</w:t>
            </w:r>
            <w:r w:rsidRPr="009E55F7">
              <w:rPr>
                <w:rFonts w:ascii="Arial" w:eastAsia="Calibri" w:hAnsi="Arial" w:cs="Arial"/>
                <w:b/>
                <w:sz w:val="20"/>
                <w:szCs w:val="20"/>
                <w:lang w:val="en-GB"/>
              </w:rPr>
              <w:br/>
              <w:t>01/01/201</w:t>
            </w:r>
            <w:r>
              <w:rPr>
                <w:rFonts w:ascii="Arial" w:eastAsia="Calibri" w:hAnsi="Arial" w:cs="Arial"/>
                <w:b/>
                <w:sz w:val="20"/>
                <w:szCs w:val="20"/>
                <w:lang w:val="en-GB"/>
              </w:rPr>
              <w:t>8</w:t>
            </w:r>
            <w:r w:rsidRPr="009E55F7">
              <w:rPr>
                <w:rFonts w:ascii="Arial" w:eastAsia="Calibri" w:hAnsi="Arial" w:cs="Arial"/>
                <w:b/>
                <w:sz w:val="20"/>
                <w:szCs w:val="20"/>
                <w:lang w:val="en-GB"/>
              </w:rPr>
              <w:t xml:space="preserve"> to 30/06/201</w:t>
            </w:r>
            <w:r>
              <w:rPr>
                <w:rFonts w:ascii="Arial" w:eastAsia="Calibri" w:hAnsi="Arial" w:cs="Arial"/>
                <w:b/>
                <w:sz w:val="20"/>
                <w:szCs w:val="20"/>
                <w:lang w:val="en-GB"/>
              </w:rPr>
              <w:t xml:space="preserve">8 </w:t>
            </w:r>
          </w:p>
        </w:tc>
      </w:tr>
      <w:tr w:rsidR="00C37F9F" w:rsidRPr="00C16731" w14:paraId="60662BC5" w14:textId="77777777" w:rsidTr="00B8764B">
        <w:tc>
          <w:tcPr>
            <w:tcW w:w="1300" w:type="pct"/>
          </w:tcPr>
          <w:p w14:paraId="56B6FD02" w14:textId="231EC7C4" w:rsidR="00263BCC" w:rsidRPr="00263BCC" w:rsidRDefault="00263BCC"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263BCC">
              <w:rPr>
                <w:rFonts w:ascii="Arial" w:hAnsi="Arial" w:cs="Arial"/>
                <w:sz w:val="22"/>
                <w:szCs w:val="22"/>
                <w:lang w:val="en-US"/>
              </w:rPr>
              <w:t xml:space="preserve">Convention-related reports address plans, policies and </w:t>
            </w:r>
            <w:proofErr w:type="spellStart"/>
            <w:r w:rsidRPr="00263BCC">
              <w:rPr>
                <w:rFonts w:ascii="Arial" w:hAnsi="Arial" w:cs="Arial"/>
                <w:sz w:val="22"/>
                <w:szCs w:val="22"/>
                <w:lang w:val="en-US"/>
              </w:rPr>
              <w:t>programmes</w:t>
            </w:r>
            <w:proofErr w:type="spellEnd"/>
            <w:r w:rsidRPr="00263BCC">
              <w:rPr>
                <w:rFonts w:ascii="Arial" w:hAnsi="Arial" w:cs="Arial"/>
                <w:sz w:val="22"/>
                <w:szCs w:val="22"/>
                <w:lang w:val="en-US"/>
              </w:rPr>
              <w:t xml:space="preserve"> aimed at integrating the safeguarding of intangible cultural heritage</w:t>
            </w:r>
            <w:r>
              <w:rPr>
                <w:rFonts w:ascii="Arial" w:hAnsi="Arial" w:cs="Arial"/>
                <w:sz w:val="22"/>
                <w:szCs w:val="22"/>
                <w:lang w:val="en-US"/>
              </w:rPr>
              <w:t xml:space="preserve"> </w:t>
            </w:r>
            <w:r w:rsidRPr="00263BCC">
              <w:rPr>
                <w:rFonts w:ascii="Arial" w:hAnsi="Arial" w:cs="Arial"/>
                <w:sz w:val="22"/>
                <w:szCs w:val="22"/>
                <w:lang w:val="en-US"/>
              </w:rPr>
              <w:t xml:space="preserve">with a gender-sensitive approach, including in emergency contexts, </w:t>
            </w:r>
            <w:r w:rsidR="00CB0E4E">
              <w:rPr>
                <w:rFonts w:ascii="Arial" w:hAnsi="Arial" w:cs="Arial"/>
                <w:sz w:val="22"/>
                <w:szCs w:val="22"/>
                <w:lang w:val="en-US"/>
              </w:rPr>
              <w:t>and</w:t>
            </w:r>
            <w:r w:rsidRPr="00263BCC">
              <w:rPr>
                <w:rFonts w:ascii="Arial" w:hAnsi="Arial" w:cs="Arial"/>
                <w:sz w:val="22"/>
                <w:szCs w:val="22"/>
                <w:lang w:val="en-US"/>
              </w:rPr>
              <w:t xml:space="preserve"> provide evidence towards </w:t>
            </w:r>
            <w:r w:rsidR="00CB0E4E">
              <w:rPr>
                <w:rFonts w:ascii="Arial" w:hAnsi="Arial" w:cs="Arial"/>
                <w:sz w:val="22"/>
                <w:szCs w:val="22"/>
                <w:lang w:val="en-US"/>
              </w:rPr>
              <w:t xml:space="preserve">the attainment of </w:t>
            </w:r>
            <w:r w:rsidRPr="00263BCC">
              <w:rPr>
                <w:rFonts w:ascii="Arial" w:hAnsi="Arial" w:cs="Arial"/>
                <w:sz w:val="22"/>
                <w:szCs w:val="22"/>
                <w:lang w:val="en-US"/>
              </w:rPr>
              <w:t>SDG target</w:t>
            </w:r>
            <w:r w:rsidR="00CB0E4E">
              <w:rPr>
                <w:rFonts w:ascii="Arial" w:hAnsi="Arial" w:cs="Arial"/>
                <w:sz w:val="22"/>
                <w:szCs w:val="22"/>
                <w:lang w:val="en-US"/>
              </w:rPr>
              <w:t>s</w:t>
            </w:r>
          </w:p>
          <w:p w14:paraId="45151689" w14:textId="77777777" w:rsidR="00263BCC" w:rsidRPr="00263BCC" w:rsidRDefault="00263BCC" w:rsidP="00A71444">
            <w:pPr>
              <w:pStyle w:val="ListParagraph"/>
              <w:keepLines/>
              <w:numPr>
                <w:ilvl w:val="0"/>
                <w:numId w:val="6"/>
              </w:numPr>
              <w:spacing w:before="120" w:beforeAutospacing="0" w:after="120" w:afterAutospacing="0"/>
              <w:ind w:left="312" w:hanging="340"/>
              <w:rPr>
                <w:rFonts w:ascii="Arial" w:eastAsia="Calibri" w:hAnsi="Arial" w:cs="Arial"/>
                <w:sz w:val="22"/>
                <w:szCs w:val="22"/>
                <w:lang w:val="en-GB"/>
              </w:rPr>
            </w:pPr>
            <w:r w:rsidRPr="00263BCC">
              <w:rPr>
                <w:rFonts w:ascii="Arial" w:hAnsi="Arial" w:cs="Arial"/>
                <w:sz w:val="22"/>
                <w:szCs w:val="22"/>
                <w:lang w:val="en-US"/>
              </w:rPr>
              <w:lastRenderedPageBreak/>
              <w:t>Partnerships established, within and outside the culture sector, with a view to strengthening the role of i</w:t>
            </w:r>
            <w:r>
              <w:rPr>
                <w:rFonts w:ascii="Arial" w:hAnsi="Arial" w:cs="Arial"/>
                <w:sz w:val="22"/>
                <w:szCs w:val="22"/>
                <w:lang w:val="en-US"/>
              </w:rPr>
              <w:t>ntangible cultural heritage as a</w:t>
            </w:r>
            <w:r w:rsidRPr="00263BCC">
              <w:rPr>
                <w:rFonts w:ascii="Arial" w:hAnsi="Arial" w:cs="Arial"/>
                <w:sz w:val="22"/>
                <w:szCs w:val="22"/>
                <w:lang w:val="en-US"/>
              </w:rPr>
              <w:t>n enable</w:t>
            </w:r>
            <w:r>
              <w:rPr>
                <w:rFonts w:ascii="Arial" w:hAnsi="Arial" w:cs="Arial"/>
                <w:sz w:val="22"/>
                <w:szCs w:val="22"/>
                <w:lang w:val="en-US"/>
              </w:rPr>
              <w:t>r and guarantee of sustainable d</w:t>
            </w:r>
            <w:r w:rsidRPr="00263BCC">
              <w:rPr>
                <w:rFonts w:ascii="Arial" w:hAnsi="Arial" w:cs="Arial"/>
                <w:sz w:val="22"/>
                <w:szCs w:val="22"/>
                <w:lang w:val="en-US"/>
              </w:rPr>
              <w:t>evelopment and supporting national plans to achieve the SDGs</w:t>
            </w:r>
          </w:p>
          <w:p w14:paraId="550E5352" w14:textId="77777777" w:rsidR="00C37F9F" w:rsidRPr="00F0515A" w:rsidRDefault="00263BCC"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263BCC">
              <w:rPr>
                <w:rFonts w:ascii="Arial" w:hAnsi="Arial" w:cs="Arial"/>
                <w:sz w:val="22"/>
                <w:szCs w:val="22"/>
                <w:lang w:val="en-US"/>
              </w:rPr>
              <w:t>Initiatives designed and implemented, resulting in the incorporation of intangible cultural heritage in formal and non-formal education (SDG 4.7)</w:t>
            </w:r>
          </w:p>
        </w:tc>
        <w:tc>
          <w:tcPr>
            <w:tcW w:w="577" w:type="pct"/>
            <w:shd w:val="clear" w:color="auto" w:fill="auto"/>
          </w:tcPr>
          <w:p w14:paraId="219F4A8E" w14:textId="2856A905" w:rsidR="00C37F9F" w:rsidRPr="009E55F7" w:rsidRDefault="0053130D"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53130D">
              <w:rPr>
                <w:rFonts w:ascii="Arial" w:eastAsia="SimSun" w:hAnsi="Arial" w:cs="Arial"/>
                <w:iCs/>
                <w:sz w:val="22"/>
                <w:szCs w:val="22"/>
                <w:lang w:val="en-US"/>
              </w:rPr>
              <w:lastRenderedPageBreak/>
              <w:t>15, of which 5 in Africa and 2 SIDS</w:t>
            </w:r>
          </w:p>
        </w:tc>
        <w:tc>
          <w:tcPr>
            <w:tcW w:w="673" w:type="pct"/>
            <w:shd w:val="clear" w:color="auto" w:fill="auto"/>
          </w:tcPr>
          <w:p w14:paraId="76FBF449" w14:textId="3924E20E" w:rsidR="00C37F9F" w:rsidRPr="009E55F7" w:rsidRDefault="00C37F9F"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1B0E44">
              <w:rPr>
                <w:rFonts w:ascii="Arial" w:eastAsia="SimSun" w:hAnsi="Arial" w:cs="Arial"/>
                <w:iCs/>
                <w:sz w:val="22"/>
                <w:szCs w:val="22"/>
                <w:lang w:val="en-US"/>
              </w:rPr>
              <w:t>25 of which 8 in</w:t>
            </w:r>
            <w:r>
              <w:rPr>
                <w:rFonts w:ascii="Arial" w:eastAsia="SimSun" w:hAnsi="Arial" w:cs="Arial"/>
                <w:iCs/>
                <w:sz w:val="22"/>
                <w:szCs w:val="22"/>
                <w:lang w:val="en-US"/>
              </w:rPr>
              <w:t xml:space="preserve"> </w:t>
            </w:r>
            <w:r w:rsidRPr="001B0E44">
              <w:rPr>
                <w:rFonts w:ascii="Arial" w:eastAsia="SimSun" w:hAnsi="Arial" w:cs="Arial"/>
                <w:iCs/>
                <w:sz w:val="22"/>
                <w:szCs w:val="22"/>
                <w:lang w:val="en-US"/>
              </w:rPr>
              <w:t>Africa and 5 SIDS</w:t>
            </w:r>
          </w:p>
        </w:tc>
        <w:tc>
          <w:tcPr>
            <w:tcW w:w="2450" w:type="pct"/>
          </w:tcPr>
          <w:p w14:paraId="3AD79865" w14:textId="1DBC82E0" w:rsidR="00CE77E1" w:rsidRPr="00CE77E1" w:rsidRDefault="00CE77E1"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CE77E1">
              <w:rPr>
                <w:rStyle w:val="textview"/>
                <w:rFonts w:ascii="Arial" w:hAnsi="Arial" w:cs="Arial"/>
                <w:sz w:val="22"/>
                <w:szCs w:val="22"/>
                <w:lang w:val="en-US"/>
              </w:rPr>
              <w:t xml:space="preserve">23 </w:t>
            </w:r>
            <w:r w:rsidRPr="00CE77E1">
              <w:rPr>
                <w:rFonts w:ascii="Arial" w:eastAsia="SimSun" w:hAnsi="Arial" w:cs="Arial"/>
                <w:iCs/>
                <w:sz w:val="22"/>
                <w:szCs w:val="22"/>
                <w:lang w:val="en-US"/>
              </w:rPr>
              <w:t>Member States</w:t>
            </w:r>
            <w:r w:rsidR="00534939" w:rsidRPr="00CE77E1">
              <w:rPr>
                <w:rFonts w:ascii="Arial" w:eastAsia="SimSun" w:hAnsi="Arial" w:cs="Arial"/>
                <w:iCs/>
                <w:sz w:val="22"/>
                <w:szCs w:val="22"/>
                <w:lang w:val="en-US"/>
              </w:rPr>
              <w:t xml:space="preserve"> supported</w:t>
            </w:r>
            <w:r w:rsidRPr="00CE77E1">
              <w:rPr>
                <w:rFonts w:ascii="Arial" w:eastAsia="SimSun" w:hAnsi="Arial" w:cs="Arial"/>
                <w:iCs/>
                <w:sz w:val="22"/>
                <w:szCs w:val="22"/>
                <w:lang w:val="en-US"/>
              </w:rPr>
              <w:t xml:space="preserve">, </w:t>
            </w:r>
            <w:r w:rsidR="00CB0E4E">
              <w:rPr>
                <w:rFonts w:ascii="Arial" w:eastAsia="SimSun" w:hAnsi="Arial" w:cs="Arial"/>
                <w:iCs/>
                <w:sz w:val="22"/>
                <w:szCs w:val="22"/>
                <w:lang w:val="en-US"/>
              </w:rPr>
              <w:t>including</w:t>
            </w:r>
            <w:r w:rsidRPr="00CE77E1">
              <w:rPr>
                <w:rFonts w:ascii="Arial" w:eastAsia="SimSun" w:hAnsi="Arial" w:cs="Arial"/>
                <w:iCs/>
                <w:sz w:val="22"/>
                <w:szCs w:val="22"/>
                <w:lang w:val="en-US"/>
              </w:rPr>
              <w:t xml:space="preserve"> 13 in Africa and </w:t>
            </w:r>
            <w:proofErr w:type="gramStart"/>
            <w:r w:rsidRPr="00CE77E1">
              <w:rPr>
                <w:rFonts w:ascii="Arial" w:eastAsia="SimSun" w:hAnsi="Arial" w:cs="Arial"/>
                <w:iCs/>
                <w:sz w:val="22"/>
                <w:szCs w:val="22"/>
                <w:lang w:val="en-US"/>
              </w:rPr>
              <w:t>5</w:t>
            </w:r>
            <w:proofErr w:type="gramEnd"/>
            <w:r w:rsidRPr="00CE77E1">
              <w:rPr>
                <w:rFonts w:ascii="Arial" w:eastAsia="SimSun" w:hAnsi="Arial" w:cs="Arial"/>
                <w:iCs/>
                <w:sz w:val="22"/>
                <w:szCs w:val="22"/>
                <w:lang w:val="en-US"/>
              </w:rPr>
              <w:t xml:space="preserve"> SIDS. Of these, 10 </w:t>
            </w:r>
            <w:r w:rsidR="00CB0E4E">
              <w:rPr>
                <w:rFonts w:ascii="Arial" w:eastAsia="SimSun" w:hAnsi="Arial" w:cs="Arial"/>
                <w:iCs/>
                <w:sz w:val="22"/>
                <w:szCs w:val="22"/>
                <w:lang w:val="en-US"/>
              </w:rPr>
              <w:t>adopted</w:t>
            </w:r>
            <w:r w:rsidR="00CB0E4E" w:rsidRPr="00CE77E1">
              <w:rPr>
                <w:rFonts w:ascii="Arial" w:eastAsia="SimSun" w:hAnsi="Arial" w:cs="Arial"/>
                <w:iCs/>
                <w:sz w:val="22"/>
                <w:szCs w:val="22"/>
                <w:lang w:val="en-US"/>
              </w:rPr>
              <w:t xml:space="preserve"> </w:t>
            </w:r>
            <w:r w:rsidRPr="00CE77E1">
              <w:rPr>
                <w:rFonts w:ascii="Arial" w:eastAsia="SimSun" w:hAnsi="Arial" w:cs="Arial"/>
                <w:iCs/>
                <w:sz w:val="22"/>
                <w:szCs w:val="22"/>
                <w:lang w:val="en-US"/>
              </w:rPr>
              <w:t>a gender-sensitive approach, while 5 were gender</w:t>
            </w:r>
            <w:r w:rsidR="00CB0E4E">
              <w:rPr>
                <w:rFonts w:ascii="Arial" w:eastAsia="SimSun" w:hAnsi="Arial" w:cs="Arial"/>
                <w:iCs/>
                <w:sz w:val="22"/>
                <w:szCs w:val="22"/>
                <w:lang w:val="en-US"/>
              </w:rPr>
              <w:t>-</w:t>
            </w:r>
            <w:r w:rsidRPr="00CE77E1">
              <w:rPr>
                <w:rFonts w:ascii="Arial" w:eastAsia="SimSun" w:hAnsi="Arial" w:cs="Arial"/>
                <w:iCs/>
                <w:sz w:val="22"/>
                <w:szCs w:val="22"/>
                <w:lang w:val="en-US"/>
              </w:rPr>
              <w:t>responsive</w:t>
            </w:r>
          </w:p>
          <w:p w14:paraId="7BFE288A" w14:textId="63F59328" w:rsidR="00C37F9F" w:rsidRPr="009E55F7" w:rsidRDefault="00577449" w:rsidP="00486032">
            <w:pPr>
              <w:pStyle w:val="ListParagraph"/>
              <w:numPr>
                <w:ilvl w:val="0"/>
                <w:numId w:val="6"/>
              </w:numPr>
              <w:spacing w:before="120" w:beforeAutospacing="0" w:after="120" w:afterAutospacing="0"/>
              <w:ind w:left="358" w:hanging="284"/>
              <w:rPr>
                <w:rFonts w:ascii="Arial" w:eastAsia="Calibri" w:hAnsi="Arial" w:cs="Arial"/>
                <w:sz w:val="22"/>
                <w:szCs w:val="22"/>
                <w:lang w:val="en-GB"/>
              </w:rPr>
            </w:pPr>
            <w:r>
              <w:rPr>
                <w:rFonts w:ascii="Arial" w:eastAsia="SimSun" w:hAnsi="Arial" w:cs="Arial"/>
                <w:iCs/>
                <w:sz w:val="22"/>
                <w:szCs w:val="22"/>
                <w:lang w:val="en-US"/>
              </w:rPr>
              <w:t>9</w:t>
            </w:r>
            <w:r w:rsidR="00CE77E1" w:rsidRPr="00CE77E1">
              <w:rPr>
                <w:rFonts w:ascii="Arial" w:eastAsia="SimSun" w:hAnsi="Arial" w:cs="Arial"/>
                <w:iCs/>
                <w:sz w:val="22"/>
                <w:szCs w:val="22"/>
                <w:lang w:val="en-US"/>
              </w:rPr>
              <w:t xml:space="preserve"> initiatives were designed to incorporate intangible cultural heritage in</w:t>
            </w:r>
            <w:r w:rsidR="00CB0E4E">
              <w:rPr>
                <w:rFonts w:ascii="Arial" w:eastAsia="SimSun" w:hAnsi="Arial" w:cs="Arial"/>
                <w:iCs/>
                <w:sz w:val="22"/>
                <w:szCs w:val="22"/>
                <w:lang w:val="en-US"/>
              </w:rPr>
              <w:t>to</w:t>
            </w:r>
            <w:r w:rsidR="00CE77E1" w:rsidRPr="00CE77E1">
              <w:rPr>
                <w:rFonts w:ascii="Arial" w:eastAsia="SimSun" w:hAnsi="Arial" w:cs="Arial"/>
                <w:iCs/>
                <w:sz w:val="22"/>
                <w:szCs w:val="22"/>
                <w:lang w:val="en-US"/>
              </w:rPr>
              <w:t xml:space="preserve"> formal and non-formal education</w:t>
            </w:r>
          </w:p>
        </w:tc>
      </w:tr>
    </w:tbl>
    <w:p w14:paraId="779A218D" w14:textId="77777777" w:rsidR="00C37F9F" w:rsidRPr="00A71444" w:rsidRDefault="00C37F9F" w:rsidP="00C37F9F">
      <w:pPr>
        <w:spacing w:after="120"/>
        <w:ind w:left="360" w:hanging="360"/>
        <w:jc w:val="both"/>
        <w:rPr>
          <w:rFonts w:ascii="Arial" w:eastAsia="Malgun Gothic" w:hAnsi="Arial" w:cs="Arial"/>
          <w:snapToGrid w:val="0"/>
          <w:sz w:val="20"/>
          <w:szCs w:val="20"/>
          <w:highlight w:val="cyan"/>
          <w:lang w:val="en-GB" w:eastAsia="ko-KR"/>
        </w:rPr>
      </w:pPr>
    </w:p>
    <w:tbl>
      <w:tblPr>
        <w:tblStyle w:val="TableGrid2"/>
        <w:tblW w:w="14572" w:type="dxa"/>
        <w:tblLook w:val="04A0" w:firstRow="1" w:lastRow="0" w:firstColumn="1" w:lastColumn="0" w:noHBand="0" w:noVBand="1"/>
      </w:tblPr>
      <w:tblGrid>
        <w:gridCol w:w="3789"/>
        <w:gridCol w:w="10783"/>
      </w:tblGrid>
      <w:tr w:rsidR="00C37F9F" w:rsidRPr="00C16731" w14:paraId="1D491F80" w14:textId="77777777" w:rsidTr="007E63DA">
        <w:trPr>
          <w:cantSplit/>
        </w:trPr>
        <w:tc>
          <w:tcPr>
            <w:tcW w:w="1300" w:type="pct"/>
            <w:shd w:val="clear" w:color="auto" w:fill="808080" w:themeFill="background1" w:themeFillShade="80"/>
            <w:vAlign w:val="center"/>
          </w:tcPr>
          <w:p w14:paraId="6F062278" w14:textId="77777777" w:rsidR="00C37F9F" w:rsidRPr="009E55F7" w:rsidRDefault="00C37F9F" w:rsidP="00AE41F3">
            <w:pPr>
              <w:keepNext/>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t>39</w:t>
            </w:r>
            <w:r w:rsidRPr="009E55F7">
              <w:rPr>
                <w:rFonts w:ascii="Arial" w:hAnsi="Arial" w:cs="Arial"/>
                <w:b/>
                <w:bCs/>
                <w:color w:val="FFFFFF" w:themeColor="background1"/>
                <w:sz w:val="22"/>
                <w:szCs w:val="22"/>
                <w:lang w:val="en-GB"/>
              </w:rPr>
              <w:t>C/5 Performance Indicator </w:t>
            </w:r>
            <w:r>
              <w:rPr>
                <w:rFonts w:ascii="Arial" w:hAnsi="Arial" w:cs="Arial"/>
                <w:b/>
                <w:bCs/>
                <w:color w:val="FFFFFF" w:themeColor="background1"/>
                <w:sz w:val="22"/>
                <w:szCs w:val="22"/>
                <w:lang w:val="en-GB"/>
              </w:rPr>
              <w:t>4</w:t>
            </w:r>
          </w:p>
        </w:tc>
        <w:tc>
          <w:tcPr>
            <w:tcW w:w="3700" w:type="pct"/>
            <w:shd w:val="clear" w:color="auto" w:fill="808080" w:themeFill="background1" w:themeFillShade="80"/>
            <w:vAlign w:val="center"/>
          </w:tcPr>
          <w:p w14:paraId="5965465C" w14:textId="720AF720" w:rsidR="00C37F9F" w:rsidRPr="009E55F7" w:rsidRDefault="00C37F9F" w:rsidP="00AE41F3">
            <w:pPr>
              <w:keepNext/>
              <w:spacing w:before="120" w:after="120"/>
              <w:rPr>
                <w:rFonts w:ascii="Arial" w:hAnsi="Arial" w:cs="Arial"/>
                <w:b/>
                <w:bCs/>
                <w:color w:val="FFFFFF" w:themeColor="background1"/>
                <w:sz w:val="22"/>
                <w:szCs w:val="22"/>
                <w:lang w:val="en-GB"/>
              </w:rPr>
            </w:pPr>
            <w:r w:rsidRPr="001B0E44">
              <w:rPr>
                <w:rFonts w:ascii="Arial" w:hAnsi="Arial" w:cs="Arial"/>
                <w:b/>
                <w:bCs/>
                <w:color w:val="FFFFFF" w:themeColor="background1"/>
                <w:sz w:val="22"/>
                <w:szCs w:val="22"/>
                <w:lang w:val="en-GB"/>
              </w:rPr>
              <w:t>Number of States Parties which have effectively implemented international assistance, including from the Intangible Cultural Heritage Fund, complementing their national safeguarding efforts</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9E55F7" w14:paraId="1D1DCC42" w14:textId="77777777" w:rsidTr="00B8764B">
        <w:trPr>
          <w:tblHeader/>
        </w:trPr>
        <w:tc>
          <w:tcPr>
            <w:tcW w:w="1300" w:type="pct"/>
            <w:shd w:val="clear" w:color="auto" w:fill="D9D9D9" w:themeFill="background1" w:themeFillShade="D9"/>
            <w:vAlign w:val="center"/>
          </w:tcPr>
          <w:p w14:paraId="194A3071" w14:textId="77777777" w:rsidR="00C37F9F" w:rsidRPr="009E55F7" w:rsidRDefault="00C37F9F" w:rsidP="00B8764B">
            <w:pPr>
              <w:spacing w:before="60" w:after="60"/>
              <w:jc w:val="center"/>
              <w:rPr>
                <w:rFonts w:ascii="Arial" w:eastAsia="Calibri" w:hAnsi="Arial" w:cs="Arial"/>
                <w:b/>
                <w:sz w:val="20"/>
                <w:szCs w:val="20"/>
                <w:lang w:val="en-GB"/>
              </w:rPr>
            </w:pPr>
            <w:r w:rsidRPr="00F0515A">
              <w:rPr>
                <w:rFonts w:ascii="Arial" w:eastAsia="Calibri" w:hAnsi="Arial" w:cs="Arial"/>
                <w:b/>
                <w:sz w:val="20"/>
                <w:szCs w:val="20"/>
                <w:lang w:val="en-GB"/>
              </w:rPr>
              <w:t>Assessed according to the following</w:t>
            </w:r>
          </w:p>
        </w:tc>
        <w:tc>
          <w:tcPr>
            <w:tcW w:w="577" w:type="pct"/>
            <w:shd w:val="clear" w:color="auto" w:fill="D9D9D9" w:themeFill="background1" w:themeFillShade="D9"/>
            <w:vAlign w:val="center"/>
          </w:tcPr>
          <w:p w14:paraId="4E3128B4" w14:textId="77777777" w:rsidR="00C37F9F" w:rsidRPr="009E55F7" w:rsidRDefault="00C37F9F" w:rsidP="00AE41F3">
            <w:pPr>
              <w:spacing w:before="60" w:after="60"/>
              <w:jc w:val="center"/>
              <w:rPr>
                <w:rFonts w:ascii="Arial" w:eastAsia="Calibri" w:hAnsi="Arial" w:cs="Arial"/>
                <w:b/>
                <w:sz w:val="20"/>
                <w:szCs w:val="20"/>
                <w:lang w:val="en-GB"/>
              </w:rPr>
            </w:pPr>
            <w:r w:rsidRPr="00EE47B3">
              <w:rPr>
                <w:rFonts w:ascii="Arial" w:eastAsia="Calibri" w:hAnsi="Arial" w:cs="Arial"/>
                <w:b/>
                <w:sz w:val="20"/>
                <w:szCs w:val="20"/>
                <w:lang w:val="en-GB"/>
              </w:rPr>
              <w:t>Baselines</w:t>
            </w:r>
          </w:p>
        </w:tc>
        <w:tc>
          <w:tcPr>
            <w:tcW w:w="673" w:type="pct"/>
            <w:shd w:val="clear" w:color="auto" w:fill="D9D9D9" w:themeFill="background1" w:themeFillShade="D9"/>
            <w:vAlign w:val="center"/>
          </w:tcPr>
          <w:p w14:paraId="4EF3706F" w14:textId="77777777" w:rsidR="00C37F9F" w:rsidRPr="009E55F7" w:rsidRDefault="00C37F9F" w:rsidP="00AE41F3">
            <w:pPr>
              <w:spacing w:before="60" w:after="60"/>
              <w:jc w:val="center"/>
              <w:rPr>
                <w:rFonts w:ascii="Arial" w:eastAsia="Calibri" w:hAnsi="Arial" w:cs="Arial"/>
                <w:b/>
                <w:sz w:val="20"/>
                <w:szCs w:val="20"/>
                <w:lang w:val="en-GB"/>
              </w:rPr>
            </w:pPr>
            <w:r w:rsidRPr="009E55F7">
              <w:rPr>
                <w:rFonts w:ascii="Arial" w:eastAsia="Calibri" w:hAnsi="Arial" w:cs="Arial"/>
                <w:b/>
                <w:sz w:val="20"/>
                <w:szCs w:val="20"/>
                <w:lang w:val="en-GB"/>
              </w:rPr>
              <w:t>Target</w:t>
            </w:r>
            <w:r>
              <w:rPr>
                <w:rFonts w:ascii="Arial" w:eastAsia="Calibri" w:hAnsi="Arial" w:cs="Arial"/>
                <w:b/>
                <w:sz w:val="20"/>
                <w:szCs w:val="20"/>
                <w:lang w:val="en-GB"/>
              </w:rPr>
              <w:t>s 2018-2019</w:t>
            </w:r>
          </w:p>
        </w:tc>
        <w:tc>
          <w:tcPr>
            <w:tcW w:w="2450" w:type="pct"/>
            <w:shd w:val="clear" w:color="auto" w:fill="D9D9D9" w:themeFill="background1" w:themeFillShade="D9"/>
            <w:vAlign w:val="center"/>
          </w:tcPr>
          <w:p w14:paraId="6C2D3381" w14:textId="77777777" w:rsidR="00C37F9F" w:rsidRPr="009E55F7" w:rsidRDefault="00C37F9F" w:rsidP="00AE41F3">
            <w:pPr>
              <w:autoSpaceDE w:val="0"/>
              <w:autoSpaceDN w:val="0"/>
              <w:adjustRightInd w:val="0"/>
              <w:jc w:val="center"/>
              <w:rPr>
                <w:rFonts w:ascii="Arial" w:eastAsia="Calibri" w:hAnsi="Arial" w:cs="Arial"/>
                <w:b/>
                <w:color w:val="000000"/>
                <w:sz w:val="20"/>
                <w:szCs w:val="20"/>
                <w:lang w:val="en-GB"/>
              </w:rPr>
            </w:pPr>
            <w:r w:rsidRPr="009E55F7">
              <w:rPr>
                <w:rFonts w:ascii="Arial" w:eastAsia="Calibri" w:hAnsi="Arial" w:cs="Arial"/>
                <w:b/>
                <w:sz w:val="20"/>
                <w:szCs w:val="20"/>
                <w:lang w:val="en-GB"/>
              </w:rPr>
              <w:t>Assessment of progress:</w:t>
            </w:r>
            <w:r w:rsidRPr="009E55F7">
              <w:rPr>
                <w:rFonts w:ascii="Arial" w:eastAsia="Calibri" w:hAnsi="Arial" w:cs="Arial"/>
                <w:b/>
                <w:sz w:val="20"/>
                <w:szCs w:val="20"/>
                <w:lang w:val="en-GB"/>
              </w:rPr>
              <w:br/>
              <w:t>01/01/201</w:t>
            </w:r>
            <w:r>
              <w:rPr>
                <w:rFonts w:ascii="Arial" w:eastAsia="Calibri" w:hAnsi="Arial" w:cs="Arial"/>
                <w:b/>
                <w:sz w:val="20"/>
                <w:szCs w:val="20"/>
                <w:lang w:val="en-GB"/>
              </w:rPr>
              <w:t>8</w:t>
            </w:r>
            <w:r w:rsidRPr="009E55F7">
              <w:rPr>
                <w:rFonts w:ascii="Arial" w:eastAsia="Calibri" w:hAnsi="Arial" w:cs="Arial"/>
                <w:b/>
                <w:sz w:val="20"/>
                <w:szCs w:val="20"/>
                <w:lang w:val="en-GB"/>
              </w:rPr>
              <w:t xml:space="preserve"> to 30/06/201</w:t>
            </w:r>
            <w:r>
              <w:rPr>
                <w:rFonts w:ascii="Arial" w:eastAsia="Calibri" w:hAnsi="Arial" w:cs="Arial"/>
                <w:b/>
                <w:sz w:val="20"/>
                <w:szCs w:val="20"/>
                <w:lang w:val="en-GB"/>
              </w:rPr>
              <w:t xml:space="preserve">8 </w:t>
            </w:r>
          </w:p>
        </w:tc>
      </w:tr>
      <w:tr w:rsidR="00C37F9F" w:rsidRPr="00C16731" w14:paraId="6BDDDB83" w14:textId="77777777" w:rsidTr="00B8764B">
        <w:tc>
          <w:tcPr>
            <w:tcW w:w="1300" w:type="pct"/>
          </w:tcPr>
          <w:p w14:paraId="1B31C523" w14:textId="77777777" w:rsidR="00EE47B3" w:rsidRPr="00EE47B3" w:rsidRDefault="00EE47B3"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EE47B3">
              <w:rPr>
                <w:rFonts w:ascii="Arial" w:hAnsi="Arial" w:cs="Arial"/>
                <w:sz w:val="22"/>
                <w:szCs w:val="22"/>
                <w:lang w:val="en-US"/>
              </w:rPr>
              <w:t>Intangible Cultural Heritage Fund used by States Parties to effectively complement their national safeguarding efforts</w:t>
            </w:r>
          </w:p>
          <w:p w14:paraId="5F649C4A" w14:textId="7C196A9E" w:rsidR="00C37F9F" w:rsidRPr="00F0515A" w:rsidRDefault="00EE47B3" w:rsidP="00486032">
            <w:pPr>
              <w:pStyle w:val="ListParagraph"/>
              <w:numPr>
                <w:ilvl w:val="0"/>
                <w:numId w:val="6"/>
              </w:numPr>
              <w:spacing w:before="120" w:beforeAutospacing="0" w:after="120" w:afterAutospacing="0"/>
              <w:ind w:left="312" w:hanging="340"/>
              <w:rPr>
                <w:rFonts w:ascii="Arial" w:eastAsia="Calibri" w:hAnsi="Arial" w:cs="Arial"/>
                <w:sz w:val="22"/>
                <w:szCs w:val="22"/>
                <w:lang w:val="en-GB"/>
              </w:rPr>
            </w:pPr>
            <w:r w:rsidRPr="00EE47B3">
              <w:rPr>
                <w:rFonts w:ascii="Arial" w:hAnsi="Arial" w:cs="Arial"/>
                <w:sz w:val="22"/>
                <w:szCs w:val="22"/>
                <w:lang w:val="en-US"/>
              </w:rPr>
              <w:t>Preparatory/technical assistance from the Intangible Cultural Heritage Fund used by States Parties to elaborate International Assistance requests to effectively complement their national safeguarding efforts</w:t>
            </w:r>
          </w:p>
        </w:tc>
        <w:tc>
          <w:tcPr>
            <w:tcW w:w="577" w:type="pct"/>
            <w:shd w:val="clear" w:color="auto" w:fill="auto"/>
          </w:tcPr>
          <w:p w14:paraId="31CCB526" w14:textId="0DD539E3" w:rsidR="00C37F9F" w:rsidRPr="009E55F7" w:rsidRDefault="00EE47B3" w:rsidP="00486032">
            <w:pPr>
              <w:pStyle w:val="ListParagraph"/>
              <w:numPr>
                <w:ilvl w:val="0"/>
                <w:numId w:val="6"/>
              </w:numPr>
              <w:spacing w:before="120" w:beforeAutospacing="0" w:after="120" w:afterAutospacing="0"/>
              <w:ind w:left="358" w:hanging="284"/>
              <w:rPr>
                <w:rFonts w:ascii="Arial" w:eastAsia="Calibri" w:hAnsi="Arial" w:cs="Arial"/>
                <w:sz w:val="22"/>
                <w:szCs w:val="22"/>
                <w:lang w:val="en-GB"/>
              </w:rPr>
            </w:pPr>
            <w:r w:rsidRPr="00EE47B3">
              <w:rPr>
                <w:rFonts w:ascii="Arial" w:eastAsia="SimSun" w:hAnsi="Arial" w:cs="Arial"/>
                <w:iCs/>
                <w:sz w:val="22"/>
                <w:szCs w:val="22"/>
                <w:lang w:val="en-US"/>
              </w:rPr>
              <w:t>15</w:t>
            </w:r>
            <w:r w:rsidRPr="00EE47B3">
              <w:rPr>
                <w:rFonts w:ascii="Arial" w:hAnsi="Arial" w:cs="Arial"/>
                <w:sz w:val="22"/>
                <w:szCs w:val="22"/>
                <w:lang w:val="en-US"/>
              </w:rPr>
              <w:t>, of which 10 in Africa and 1 SIDS</w:t>
            </w:r>
          </w:p>
        </w:tc>
        <w:tc>
          <w:tcPr>
            <w:tcW w:w="673" w:type="pct"/>
            <w:shd w:val="clear" w:color="auto" w:fill="auto"/>
          </w:tcPr>
          <w:p w14:paraId="154E4CB9" w14:textId="47DF541A" w:rsidR="00C37F9F" w:rsidRPr="009E55F7" w:rsidRDefault="00C37F9F"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Pr>
                <w:rFonts w:ascii="Arial" w:eastAsia="SimSun" w:hAnsi="Arial" w:cs="Arial"/>
                <w:iCs/>
                <w:sz w:val="22"/>
                <w:szCs w:val="22"/>
                <w:lang w:val="en-US"/>
              </w:rPr>
              <w:t>15</w:t>
            </w:r>
            <w:r w:rsidRPr="001B0E44">
              <w:rPr>
                <w:rFonts w:ascii="Arial" w:eastAsia="SimSun" w:hAnsi="Arial" w:cs="Arial"/>
                <w:iCs/>
                <w:sz w:val="22"/>
                <w:szCs w:val="22"/>
                <w:lang w:val="en-US"/>
              </w:rPr>
              <w:t xml:space="preserve"> of which </w:t>
            </w:r>
            <w:r w:rsidR="00D85A42">
              <w:rPr>
                <w:rFonts w:ascii="Arial" w:eastAsia="SimSun" w:hAnsi="Arial" w:cs="Arial"/>
                <w:iCs/>
                <w:sz w:val="22"/>
                <w:szCs w:val="22"/>
                <w:lang w:val="en-US"/>
              </w:rPr>
              <w:t>10</w:t>
            </w:r>
            <w:r w:rsidR="00D85A42" w:rsidRPr="001B0E44">
              <w:rPr>
                <w:rFonts w:ascii="Arial" w:eastAsia="SimSun" w:hAnsi="Arial" w:cs="Arial"/>
                <w:iCs/>
                <w:sz w:val="22"/>
                <w:szCs w:val="22"/>
                <w:lang w:val="en-US"/>
              </w:rPr>
              <w:t xml:space="preserve"> </w:t>
            </w:r>
            <w:r w:rsidRPr="001B0E44">
              <w:rPr>
                <w:rFonts w:ascii="Arial" w:eastAsia="SimSun" w:hAnsi="Arial" w:cs="Arial"/>
                <w:iCs/>
                <w:sz w:val="22"/>
                <w:szCs w:val="22"/>
                <w:lang w:val="en-US"/>
              </w:rPr>
              <w:t>in Africa and 2 SIDS</w:t>
            </w:r>
          </w:p>
        </w:tc>
        <w:tc>
          <w:tcPr>
            <w:tcW w:w="2450" w:type="pct"/>
          </w:tcPr>
          <w:p w14:paraId="77E2077B" w14:textId="5316DA9C" w:rsidR="00EE47B3" w:rsidRPr="00EE47B3" w:rsidRDefault="00AA2823" w:rsidP="00486032">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Pr>
                <w:rFonts w:ascii="Arial" w:eastAsia="SimSun" w:hAnsi="Arial" w:cs="Arial"/>
                <w:iCs/>
                <w:sz w:val="22"/>
                <w:szCs w:val="22"/>
                <w:lang w:val="en-US"/>
              </w:rPr>
              <w:t>2</w:t>
            </w:r>
            <w:r w:rsidR="00EE47B3" w:rsidRPr="00EE47B3">
              <w:rPr>
                <w:rFonts w:ascii="Arial" w:eastAsia="SimSun" w:hAnsi="Arial" w:cs="Arial"/>
                <w:iCs/>
                <w:sz w:val="22"/>
                <w:szCs w:val="22"/>
                <w:lang w:val="en-US"/>
              </w:rPr>
              <w:t xml:space="preserve"> State</w:t>
            </w:r>
            <w:r w:rsidR="00CB0E4E">
              <w:rPr>
                <w:rFonts w:ascii="Arial" w:eastAsia="SimSun" w:hAnsi="Arial" w:cs="Arial"/>
                <w:iCs/>
                <w:sz w:val="22"/>
                <w:szCs w:val="22"/>
                <w:lang w:val="en-US"/>
              </w:rPr>
              <w:t>s</w:t>
            </w:r>
            <w:r w:rsidR="00EE47B3" w:rsidRPr="00EE47B3">
              <w:rPr>
                <w:rFonts w:ascii="Arial" w:eastAsia="SimSun" w:hAnsi="Arial" w:cs="Arial"/>
                <w:iCs/>
                <w:sz w:val="22"/>
                <w:szCs w:val="22"/>
                <w:lang w:val="en-US"/>
              </w:rPr>
              <w:t xml:space="preserve"> Partie</w:t>
            </w:r>
            <w:r w:rsidR="00CB0E4E">
              <w:rPr>
                <w:rFonts w:ascii="Arial" w:eastAsia="SimSun" w:hAnsi="Arial" w:cs="Arial"/>
                <w:iCs/>
                <w:sz w:val="22"/>
                <w:szCs w:val="22"/>
                <w:lang w:val="en-US"/>
              </w:rPr>
              <w:t>s</w:t>
            </w:r>
            <w:r w:rsidR="00EE47B3" w:rsidRPr="00EE47B3">
              <w:rPr>
                <w:rFonts w:ascii="Arial" w:eastAsia="SimSun" w:hAnsi="Arial" w:cs="Arial"/>
                <w:iCs/>
                <w:sz w:val="22"/>
                <w:szCs w:val="22"/>
                <w:lang w:val="en-US"/>
              </w:rPr>
              <w:t xml:space="preserve"> </w:t>
            </w:r>
            <w:r w:rsidR="00EE47B3">
              <w:rPr>
                <w:rFonts w:ascii="Arial" w:eastAsia="SimSun" w:hAnsi="Arial" w:cs="Arial"/>
                <w:iCs/>
                <w:sz w:val="22"/>
                <w:szCs w:val="22"/>
                <w:lang w:val="en-US"/>
              </w:rPr>
              <w:t xml:space="preserve">completed the </w:t>
            </w:r>
            <w:r w:rsidR="00EE47B3" w:rsidRPr="00EE47B3">
              <w:rPr>
                <w:rFonts w:ascii="Arial" w:eastAsia="SimSun" w:hAnsi="Arial" w:cs="Arial"/>
                <w:iCs/>
                <w:sz w:val="22"/>
                <w:szCs w:val="22"/>
                <w:lang w:val="en-US"/>
              </w:rPr>
              <w:t>implemen</w:t>
            </w:r>
            <w:r w:rsidR="00EE47B3">
              <w:rPr>
                <w:rFonts w:ascii="Arial" w:eastAsia="SimSun" w:hAnsi="Arial" w:cs="Arial"/>
                <w:iCs/>
                <w:sz w:val="22"/>
                <w:szCs w:val="22"/>
                <w:lang w:val="en-US"/>
              </w:rPr>
              <w:t xml:space="preserve">tation of </w:t>
            </w:r>
            <w:r w:rsidR="00CB0E4E">
              <w:rPr>
                <w:rFonts w:ascii="Arial" w:eastAsia="SimSun" w:hAnsi="Arial" w:cs="Arial"/>
                <w:iCs/>
                <w:sz w:val="22"/>
                <w:szCs w:val="22"/>
                <w:lang w:val="en-US"/>
              </w:rPr>
              <w:t>an I</w:t>
            </w:r>
            <w:r w:rsidR="00EE47B3" w:rsidRPr="00EE47B3">
              <w:rPr>
                <w:rFonts w:ascii="Arial" w:eastAsia="SimSun" w:hAnsi="Arial" w:cs="Arial"/>
                <w:iCs/>
                <w:sz w:val="22"/>
                <w:szCs w:val="22"/>
                <w:lang w:val="en-US"/>
              </w:rPr>
              <w:t xml:space="preserve">nternational </w:t>
            </w:r>
            <w:r w:rsidR="00CB0E4E">
              <w:rPr>
                <w:rFonts w:ascii="Arial" w:eastAsia="SimSun" w:hAnsi="Arial" w:cs="Arial"/>
                <w:iCs/>
                <w:sz w:val="22"/>
                <w:szCs w:val="22"/>
                <w:lang w:val="en-US"/>
              </w:rPr>
              <w:t>A</w:t>
            </w:r>
            <w:r w:rsidR="00CB0E4E" w:rsidRPr="00EE47B3">
              <w:rPr>
                <w:rFonts w:ascii="Arial" w:eastAsia="SimSun" w:hAnsi="Arial" w:cs="Arial"/>
                <w:iCs/>
                <w:sz w:val="22"/>
                <w:szCs w:val="22"/>
                <w:lang w:val="en-US"/>
              </w:rPr>
              <w:t>ssistance</w:t>
            </w:r>
            <w:r w:rsidR="00CB0E4E">
              <w:rPr>
                <w:rFonts w:ascii="Arial" w:eastAsia="SimSun" w:hAnsi="Arial" w:cs="Arial"/>
                <w:iCs/>
                <w:sz w:val="22"/>
                <w:szCs w:val="22"/>
                <w:lang w:val="en-US"/>
              </w:rPr>
              <w:t xml:space="preserve"> project</w:t>
            </w:r>
          </w:p>
          <w:p w14:paraId="3545F551" w14:textId="5016F564" w:rsidR="00EE47B3" w:rsidRPr="00EE47B3" w:rsidRDefault="008A2CB4" w:rsidP="008A2CB4">
            <w:pPr>
              <w:pStyle w:val="ListParagraph"/>
              <w:numPr>
                <w:ilvl w:val="0"/>
                <w:numId w:val="6"/>
              </w:numPr>
              <w:spacing w:before="120" w:beforeAutospacing="0" w:after="120" w:afterAutospacing="0"/>
              <w:ind w:left="358" w:hanging="284"/>
              <w:rPr>
                <w:rFonts w:ascii="Arial" w:eastAsia="SimSun" w:hAnsi="Arial" w:cs="Arial"/>
                <w:iCs/>
                <w:sz w:val="22"/>
                <w:szCs w:val="22"/>
                <w:lang w:val="en-US"/>
              </w:rPr>
            </w:pPr>
            <w:r w:rsidRPr="008A2CB4">
              <w:rPr>
                <w:rFonts w:ascii="Arial" w:eastAsia="SimSun" w:hAnsi="Arial" w:cs="Arial"/>
                <w:iCs/>
                <w:sz w:val="22"/>
                <w:szCs w:val="22"/>
                <w:lang w:val="en-US"/>
              </w:rPr>
              <w:t xml:space="preserve">17 International Assistance requests for up to </w:t>
            </w:r>
            <w:r w:rsidR="002D2F6F">
              <w:rPr>
                <w:rFonts w:ascii="Arial" w:eastAsia="SimSun" w:hAnsi="Arial" w:cs="Arial"/>
                <w:iCs/>
                <w:sz w:val="22"/>
                <w:szCs w:val="22"/>
                <w:lang w:val="en-US"/>
              </w:rPr>
              <w:t>US$</w:t>
            </w:r>
            <w:r w:rsidRPr="008A2CB4">
              <w:rPr>
                <w:rFonts w:ascii="Arial" w:eastAsia="SimSun" w:hAnsi="Arial" w:cs="Arial"/>
                <w:iCs/>
                <w:sz w:val="22"/>
                <w:szCs w:val="22"/>
                <w:lang w:val="en-US"/>
              </w:rPr>
              <w:t xml:space="preserve">100,000 treated and submitted to the Bureau of the Intergovernmental Committee of the Convention, out of which </w:t>
            </w:r>
            <w:r w:rsidRPr="007F39B0">
              <w:rPr>
                <w:rFonts w:ascii="Arial" w:eastAsia="SimSun" w:hAnsi="Arial" w:cs="Arial"/>
                <w:iCs/>
                <w:sz w:val="22"/>
                <w:szCs w:val="22"/>
                <w:lang w:val="en-US"/>
              </w:rPr>
              <w:t>11 were approved</w:t>
            </w:r>
            <w:r w:rsidRPr="008A2CB4">
              <w:rPr>
                <w:rFonts w:ascii="Arial" w:eastAsia="SimSun" w:hAnsi="Arial" w:cs="Arial"/>
                <w:iCs/>
                <w:sz w:val="22"/>
                <w:szCs w:val="22"/>
                <w:lang w:val="en-US"/>
              </w:rPr>
              <w:t>, including 5</w:t>
            </w:r>
            <w:r w:rsidR="00534939">
              <w:rPr>
                <w:rFonts w:ascii="Arial" w:eastAsia="SimSun" w:hAnsi="Arial" w:cs="Arial"/>
                <w:iCs/>
                <w:sz w:val="22"/>
                <w:szCs w:val="22"/>
                <w:lang w:val="en-US"/>
              </w:rPr>
              <w:t xml:space="preserve"> </w:t>
            </w:r>
            <w:r w:rsidR="00EE47B3" w:rsidRPr="00EE47B3">
              <w:rPr>
                <w:rFonts w:ascii="Arial" w:eastAsia="SimSun" w:hAnsi="Arial" w:cs="Arial"/>
                <w:iCs/>
                <w:sz w:val="22"/>
                <w:szCs w:val="22"/>
                <w:lang w:val="en-US"/>
              </w:rPr>
              <w:t>for Africa and 1 SIDS</w:t>
            </w:r>
          </w:p>
          <w:p w14:paraId="57E0F32D" w14:textId="3B2E5E9B" w:rsidR="00C37F9F" w:rsidRPr="009E55F7" w:rsidRDefault="00EE47B3" w:rsidP="00486032">
            <w:pPr>
              <w:pStyle w:val="ListParagraph"/>
              <w:numPr>
                <w:ilvl w:val="0"/>
                <w:numId w:val="6"/>
              </w:numPr>
              <w:spacing w:before="120" w:beforeAutospacing="0" w:after="120" w:afterAutospacing="0"/>
              <w:ind w:left="358" w:hanging="284"/>
              <w:rPr>
                <w:rFonts w:ascii="Arial" w:eastAsia="Calibri" w:hAnsi="Arial" w:cs="Arial"/>
                <w:sz w:val="20"/>
                <w:szCs w:val="20"/>
                <w:lang w:val="en-GB"/>
              </w:rPr>
            </w:pPr>
            <w:r w:rsidRPr="00EE47B3">
              <w:rPr>
                <w:rFonts w:ascii="Arial" w:eastAsia="SimSun" w:hAnsi="Arial" w:cs="Arial"/>
                <w:iCs/>
                <w:sz w:val="22"/>
                <w:szCs w:val="22"/>
                <w:lang w:val="en-US"/>
              </w:rPr>
              <w:t xml:space="preserve">2 requests received </w:t>
            </w:r>
            <w:r w:rsidR="00CB0E4E">
              <w:rPr>
                <w:rFonts w:ascii="Arial" w:eastAsia="SimSun" w:hAnsi="Arial" w:cs="Arial"/>
                <w:iCs/>
                <w:sz w:val="22"/>
                <w:szCs w:val="22"/>
                <w:lang w:val="en-US"/>
              </w:rPr>
              <w:t>t</w:t>
            </w:r>
            <w:r w:rsidR="00CB0E4E" w:rsidRPr="00EE47B3">
              <w:rPr>
                <w:rFonts w:ascii="Arial" w:eastAsia="SimSun" w:hAnsi="Arial" w:cs="Arial"/>
                <w:iCs/>
                <w:sz w:val="22"/>
                <w:szCs w:val="22"/>
                <w:lang w:val="en-US"/>
              </w:rPr>
              <w:t xml:space="preserve">echnical </w:t>
            </w:r>
            <w:r w:rsidR="00CB0E4E">
              <w:rPr>
                <w:rFonts w:ascii="Arial" w:eastAsia="SimSun" w:hAnsi="Arial" w:cs="Arial"/>
                <w:iCs/>
                <w:sz w:val="22"/>
                <w:szCs w:val="22"/>
                <w:lang w:val="en-US"/>
              </w:rPr>
              <w:t>a</w:t>
            </w:r>
            <w:r w:rsidR="00CB0E4E" w:rsidRPr="00EE47B3">
              <w:rPr>
                <w:rFonts w:ascii="Arial" w:eastAsia="SimSun" w:hAnsi="Arial" w:cs="Arial"/>
                <w:iCs/>
                <w:sz w:val="22"/>
                <w:szCs w:val="22"/>
                <w:lang w:val="en-US"/>
              </w:rPr>
              <w:t>ssistance</w:t>
            </w:r>
            <w:r w:rsidRPr="00EE47B3">
              <w:rPr>
                <w:rFonts w:ascii="Arial" w:eastAsia="SimSun" w:hAnsi="Arial" w:cs="Arial"/>
                <w:iCs/>
                <w:sz w:val="22"/>
                <w:szCs w:val="22"/>
                <w:lang w:val="en-US"/>
              </w:rPr>
              <w:t>, including 1 from Africa</w:t>
            </w:r>
          </w:p>
        </w:tc>
      </w:tr>
    </w:tbl>
    <w:p w14:paraId="393B2C72" w14:textId="77777777" w:rsidR="00C37F9F" w:rsidRDefault="00C37F9F" w:rsidP="00C37F9F">
      <w:pPr>
        <w:spacing w:after="120"/>
        <w:ind w:left="360" w:hanging="360"/>
        <w:jc w:val="both"/>
        <w:rPr>
          <w:rFonts w:ascii="Arial" w:eastAsia="Malgun Gothic" w:hAnsi="Arial" w:cs="Arial"/>
          <w:snapToGrid w:val="0"/>
          <w:sz w:val="22"/>
          <w:szCs w:val="22"/>
          <w:highlight w:val="cyan"/>
          <w:lang w:val="en-GB" w:eastAsia="ko-KR"/>
        </w:rPr>
      </w:pPr>
    </w:p>
    <w:tbl>
      <w:tblPr>
        <w:tblStyle w:val="TableGrid2"/>
        <w:tblW w:w="14572" w:type="dxa"/>
        <w:tblLook w:val="04A0" w:firstRow="1" w:lastRow="0" w:firstColumn="1" w:lastColumn="0" w:noHBand="0" w:noVBand="1"/>
      </w:tblPr>
      <w:tblGrid>
        <w:gridCol w:w="3789"/>
        <w:gridCol w:w="10783"/>
      </w:tblGrid>
      <w:tr w:rsidR="00C37F9F" w:rsidRPr="00C16731" w14:paraId="3404563B" w14:textId="77777777" w:rsidTr="007E63DA">
        <w:trPr>
          <w:cantSplit/>
        </w:trPr>
        <w:tc>
          <w:tcPr>
            <w:tcW w:w="1300" w:type="pct"/>
            <w:shd w:val="clear" w:color="auto" w:fill="808080" w:themeFill="background1" w:themeFillShade="80"/>
            <w:vAlign w:val="center"/>
          </w:tcPr>
          <w:p w14:paraId="5AD79D79" w14:textId="77777777" w:rsidR="00C37F9F" w:rsidRPr="009E55F7" w:rsidRDefault="00C37F9F" w:rsidP="00697C4B">
            <w:pPr>
              <w:keepNext/>
              <w:keepLines/>
              <w:spacing w:before="120" w:after="120"/>
              <w:rPr>
                <w:rFonts w:ascii="Arial" w:hAnsi="Arial" w:cs="Arial"/>
                <w:b/>
                <w:bCs/>
                <w:color w:val="FFFFFF" w:themeColor="background1"/>
                <w:sz w:val="22"/>
                <w:szCs w:val="22"/>
                <w:lang w:val="en-GB"/>
              </w:rPr>
            </w:pPr>
            <w:r>
              <w:rPr>
                <w:rFonts w:ascii="Arial" w:hAnsi="Arial" w:cs="Arial"/>
                <w:b/>
                <w:bCs/>
                <w:color w:val="FFFFFF" w:themeColor="background1"/>
                <w:sz w:val="22"/>
                <w:szCs w:val="22"/>
                <w:lang w:val="en-GB"/>
              </w:rPr>
              <w:lastRenderedPageBreak/>
              <w:t>39</w:t>
            </w:r>
            <w:r w:rsidRPr="009E55F7">
              <w:rPr>
                <w:rFonts w:ascii="Arial" w:hAnsi="Arial" w:cs="Arial"/>
                <w:b/>
                <w:bCs/>
                <w:color w:val="FFFFFF" w:themeColor="background1"/>
                <w:sz w:val="22"/>
                <w:szCs w:val="22"/>
                <w:lang w:val="en-GB"/>
              </w:rPr>
              <w:t>C/5 Performance Indicator </w:t>
            </w:r>
            <w:r>
              <w:rPr>
                <w:rFonts w:ascii="Arial" w:hAnsi="Arial" w:cs="Arial"/>
                <w:b/>
                <w:bCs/>
                <w:color w:val="FFFFFF" w:themeColor="background1"/>
                <w:sz w:val="22"/>
                <w:szCs w:val="22"/>
                <w:lang w:val="en-GB"/>
              </w:rPr>
              <w:t>5</w:t>
            </w:r>
          </w:p>
        </w:tc>
        <w:tc>
          <w:tcPr>
            <w:tcW w:w="3700" w:type="pct"/>
            <w:shd w:val="clear" w:color="auto" w:fill="808080" w:themeFill="background1" w:themeFillShade="80"/>
            <w:vAlign w:val="center"/>
          </w:tcPr>
          <w:p w14:paraId="1CC105B3" w14:textId="77777777" w:rsidR="00C37F9F" w:rsidRPr="009E55F7" w:rsidRDefault="00C37F9F" w:rsidP="00697C4B">
            <w:pPr>
              <w:keepNext/>
              <w:keepLines/>
              <w:spacing w:before="120" w:after="120"/>
              <w:rPr>
                <w:rFonts w:ascii="Arial" w:hAnsi="Arial" w:cs="Arial"/>
                <w:b/>
                <w:bCs/>
                <w:color w:val="FFFFFF" w:themeColor="background1"/>
                <w:sz w:val="22"/>
                <w:szCs w:val="22"/>
                <w:lang w:val="en-GB"/>
              </w:rPr>
            </w:pPr>
            <w:r w:rsidRPr="00440F72">
              <w:rPr>
                <w:rFonts w:ascii="Arial" w:hAnsi="Arial" w:cs="Arial"/>
                <w:b/>
                <w:bCs/>
                <w:color w:val="FFFFFF" w:themeColor="background1"/>
                <w:sz w:val="22"/>
                <w:szCs w:val="22"/>
                <w:lang w:val="en-GB"/>
              </w:rPr>
              <w:t>Number of initiatives undertaken by supported Member States which have enhanced knowledge and understanding of intangible cultural heritage safeguarding and of the 2003 Convention</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9E55F7" w14:paraId="21874206" w14:textId="77777777" w:rsidTr="00B8764B">
        <w:trPr>
          <w:tblHeader/>
        </w:trPr>
        <w:tc>
          <w:tcPr>
            <w:tcW w:w="1300" w:type="pct"/>
            <w:shd w:val="clear" w:color="auto" w:fill="D9D9D9" w:themeFill="background1" w:themeFillShade="D9"/>
            <w:vAlign w:val="center"/>
          </w:tcPr>
          <w:p w14:paraId="256CE3BC" w14:textId="77777777" w:rsidR="00C37F9F" w:rsidRPr="009E55F7" w:rsidRDefault="00C37F9F" w:rsidP="00B8764B">
            <w:pPr>
              <w:keepNext/>
              <w:keepLines/>
              <w:spacing w:before="60" w:after="60"/>
              <w:jc w:val="center"/>
              <w:rPr>
                <w:rFonts w:ascii="Arial" w:eastAsia="Calibri" w:hAnsi="Arial" w:cs="Arial"/>
                <w:b/>
                <w:sz w:val="20"/>
                <w:szCs w:val="20"/>
                <w:lang w:val="en-GB"/>
              </w:rPr>
            </w:pPr>
            <w:r w:rsidRPr="00F0515A">
              <w:rPr>
                <w:rFonts w:ascii="Arial" w:eastAsia="Calibri" w:hAnsi="Arial" w:cs="Arial"/>
                <w:b/>
                <w:sz w:val="20"/>
                <w:szCs w:val="20"/>
                <w:lang w:val="en-GB"/>
              </w:rPr>
              <w:t>Assessed according to the following:</w:t>
            </w:r>
          </w:p>
        </w:tc>
        <w:tc>
          <w:tcPr>
            <w:tcW w:w="577" w:type="pct"/>
            <w:shd w:val="clear" w:color="auto" w:fill="D9D9D9" w:themeFill="background1" w:themeFillShade="D9"/>
            <w:vAlign w:val="center"/>
          </w:tcPr>
          <w:p w14:paraId="5D697604" w14:textId="77777777" w:rsidR="00C37F9F" w:rsidRPr="00B8764B" w:rsidRDefault="00C37F9F" w:rsidP="00697C4B">
            <w:pPr>
              <w:keepNext/>
              <w:keepLines/>
              <w:spacing w:before="60" w:after="60"/>
              <w:jc w:val="center"/>
              <w:rPr>
                <w:rFonts w:ascii="Arial" w:eastAsia="Calibri" w:hAnsi="Arial" w:cs="Arial"/>
                <w:b/>
                <w:sz w:val="20"/>
                <w:szCs w:val="20"/>
                <w:lang w:val="en-GB"/>
              </w:rPr>
            </w:pPr>
            <w:r w:rsidRPr="00B8764B">
              <w:rPr>
                <w:rFonts w:ascii="Arial" w:hAnsi="Arial" w:cs="Arial"/>
                <w:b/>
                <w:bCs/>
                <w:sz w:val="20"/>
                <w:szCs w:val="20"/>
                <w:lang w:val="en-GB"/>
              </w:rPr>
              <w:t>Baselines</w:t>
            </w:r>
          </w:p>
        </w:tc>
        <w:tc>
          <w:tcPr>
            <w:tcW w:w="673" w:type="pct"/>
            <w:shd w:val="clear" w:color="auto" w:fill="D9D9D9" w:themeFill="background1" w:themeFillShade="D9"/>
            <w:vAlign w:val="center"/>
          </w:tcPr>
          <w:p w14:paraId="31E165AC" w14:textId="77777777" w:rsidR="00C37F9F" w:rsidRPr="009E55F7" w:rsidRDefault="00C37F9F" w:rsidP="00697C4B">
            <w:pPr>
              <w:keepNext/>
              <w:keepLines/>
              <w:spacing w:before="60" w:after="60"/>
              <w:jc w:val="center"/>
              <w:rPr>
                <w:rFonts w:ascii="Arial" w:eastAsia="Calibri" w:hAnsi="Arial" w:cs="Arial"/>
                <w:b/>
                <w:sz w:val="20"/>
                <w:szCs w:val="20"/>
                <w:lang w:val="en-GB"/>
              </w:rPr>
            </w:pPr>
            <w:r w:rsidRPr="009E55F7">
              <w:rPr>
                <w:rFonts w:ascii="Arial" w:eastAsia="Calibri" w:hAnsi="Arial" w:cs="Arial"/>
                <w:b/>
                <w:sz w:val="20"/>
                <w:szCs w:val="20"/>
                <w:lang w:val="en-GB"/>
              </w:rPr>
              <w:t>Target</w:t>
            </w:r>
            <w:r>
              <w:rPr>
                <w:rFonts w:ascii="Arial" w:eastAsia="Calibri" w:hAnsi="Arial" w:cs="Arial"/>
                <w:b/>
                <w:sz w:val="20"/>
                <w:szCs w:val="20"/>
                <w:lang w:val="en-GB"/>
              </w:rPr>
              <w:t>s 2018-2019</w:t>
            </w:r>
          </w:p>
        </w:tc>
        <w:tc>
          <w:tcPr>
            <w:tcW w:w="2450" w:type="pct"/>
            <w:shd w:val="clear" w:color="auto" w:fill="D9D9D9" w:themeFill="background1" w:themeFillShade="D9"/>
            <w:vAlign w:val="center"/>
          </w:tcPr>
          <w:p w14:paraId="2F0658BE" w14:textId="77777777" w:rsidR="00C37F9F" w:rsidRPr="009E55F7" w:rsidRDefault="00C37F9F" w:rsidP="00697C4B">
            <w:pPr>
              <w:keepNext/>
              <w:keepLines/>
              <w:autoSpaceDE w:val="0"/>
              <w:autoSpaceDN w:val="0"/>
              <w:adjustRightInd w:val="0"/>
              <w:jc w:val="center"/>
              <w:rPr>
                <w:rFonts w:ascii="Arial" w:eastAsia="Calibri" w:hAnsi="Arial" w:cs="Arial"/>
                <w:b/>
                <w:color w:val="000000"/>
                <w:sz w:val="20"/>
                <w:szCs w:val="20"/>
                <w:lang w:val="en-GB"/>
              </w:rPr>
            </w:pPr>
            <w:r w:rsidRPr="009E55F7">
              <w:rPr>
                <w:rFonts w:ascii="Arial" w:eastAsia="Calibri" w:hAnsi="Arial" w:cs="Arial"/>
                <w:b/>
                <w:sz w:val="20"/>
                <w:szCs w:val="20"/>
                <w:lang w:val="en-GB"/>
              </w:rPr>
              <w:t>Assessment of progress:</w:t>
            </w:r>
            <w:r w:rsidRPr="009E55F7">
              <w:rPr>
                <w:rFonts w:ascii="Arial" w:eastAsia="Calibri" w:hAnsi="Arial" w:cs="Arial"/>
                <w:b/>
                <w:sz w:val="20"/>
                <w:szCs w:val="20"/>
                <w:lang w:val="en-GB"/>
              </w:rPr>
              <w:br/>
              <w:t>01/01/201</w:t>
            </w:r>
            <w:r>
              <w:rPr>
                <w:rFonts w:ascii="Arial" w:eastAsia="Calibri" w:hAnsi="Arial" w:cs="Arial"/>
                <w:b/>
                <w:sz w:val="20"/>
                <w:szCs w:val="20"/>
                <w:lang w:val="en-GB"/>
              </w:rPr>
              <w:t>8</w:t>
            </w:r>
            <w:r w:rsidRPr="009E55F7">
              <w:rPr>
                <w:rFonts w:ascii="Arial" w:eastAsia="Calibri" w:hAnsi="Arial" w:cs="Arial"/>
                <w:b/>
                <w:sz w:val="20"/>
                <w:szCs w:val="20"/>
                <w:lang w:val="en-GB"/>
              </w:rPr>
              <w:t xml:space="preserve"> to 30/06/201</w:t>
            </w:r>
            <w:r>
              <w:rPr>
                <w:rFonts w:ascii="Arial" w:eastAsia="Calibri" w:hAnsi="Arial" w:cs="Arial"/>
                <w:b/>
                <w:sz w:val="20"/>
                <w:szCs w:val="20"/>
                <w:lang w:val="en-GB"/>
              </w:rPr>
              <w:t xml:space="preserve">8 </w:t>
            </w:r>
          </w:p>
        </w:tc>
      </w:tr>
      <w:tr w:rsidR="00C37F9F" w:rsidRPr="00C16731" w14:paraId="3A4E6545" w14:textId="77777777" w:rsidTr="00B8764B">
        <w:tc>
          <w:tcPr>
            <w:tcW w:w="1300" w:type="pct"/>
          </w:tcPr>
          <w:p w14:paraId="5CFCA137" w14:textId="77777777" w:rsidR="007C0AD3" w:rsidRPr="007C0AD3" w:rsidRDefault="007C0AD3" w:rsidP="00697C4B">
            <w:pPr>
              <w:pStyle w:val="ListParagraph"/>
              <w:keepNext/>
              <w:keepLines/>
              <w:numPr>
                <w:ilvl w:val="0"/>
                <w:numId w:val="6"/>
              </w:numPr>
              <w:spacing w:before="120" w:beforeAutospacing="0" w:after="120" w:afterAutospacing="0"/>
              <w:ind w:left="312" w:hanging="340"/>
              <w:rPr>
                <w:rFonts w:ascii="Arial" w:eastAsia="Calibri" w:hAnsi="Arial" w:cs="Arial"/>
                <w:sz w:val="22"/>
                <w:szCs w:val="22"/>
                <w:lang w:val="en-GB"/>
              </w:rPr>
            </w:pPr>
            <w:r w:rsidRPr="007C0AD3">
              <w:rPr>
                <w:rFonts w:ascii="Arial" w:hAnsi="Arial" w:cs="Arial"/>
                <w:sz w:val="22"/>
                <w:szCs w:val="22"/>
                <w:lang w:val="en-US"/>
              </w:rPr>
              <w:t xml:space="preserve">Evidence of </w:t>
            </w:r>
            <w:proofErr w:type="spellStart"/>
            <w:r w:rsidRPr="007C0AD3">
              <w:rPr>
                <w:rFonts w:ascii="Arial" w:hAnsi="Arial" w:cs="Arial"/>
                <w:sz w:val="22"/>
                <w:szCs w:val="22"/>
                <w:lang w:val="en-US"/>
              </w:rPr>
              <w:t>programmes</w:t>
            </w:r>
            <w:proofErr w:type="spellEnd"/>
            <w:r w:rsidRPr="007C0AD3">
              <w:rPr>
                <w:rFonts w:ascii="Arial" w:hAnsi="Arial" w:cs="Arial"/>
                <w:sz w:val="22"/>
                <w:szCs w:val="22"/>
                <w:lang w:val="en-US"/>
              </w:rPr>
              <w:t>, projects or initiatives for the safeguarding of heritage reflecting the principles and objectives of the 2003 Convention with proven effectiveness to contribute to the viability of the intangible cultural heritage concerned</w:t>
            </w:r>
          </w:p>
          <w:p w14:paraId="62C1AE4B" w14:textId="380F7783" w:rsidR="007C0AD3" w:rsidRPr="007C0AD3" w:rsidRDefault="007C0AD3" w:rsidP="00697C4B">
            <w:pPr>
              <w:pStyle w:val="ListParagraph"/>
              <w:keepNext/>
              <w:keepLines/>
              <w:numPr>
                <w:ilvl w:val="0"/>
                <w:numId w:val="6"/>
              </w:numPr>
              <w:spacing w:before="120" w:beforeAutospacing="0" w:after="120" w:afterAutospacing="0"/>
              <w:ind w:left="312" w:hanging="340"/>
              <w:rPr>
                <w:rFonts w:ascii="Arial" w:eastAsia="Calibri" w:hAnsi="Arial" w:cs="Arial"/>
                <w:sz w:val="22"/>
                <w:szCs w:val="22"/>
                <w:lang w:val="en-GB"/>
              </w:rPr>
            </w:pPr>
            <w:r w:rsidRPr="007C0AD3">
              <w:rPr>
                <w:rFonts w:ascii="Arial" w:hAnsi="Arial" w:cs="Arial"/>
                <w:sz w:val="22"/>
                <w:szCs w:val="22"/>
                <w:lang w:val="en-US"/>
              </w:rPr>
              <w:t>Communication and/or awareness-raising initiatives developed in line with the Convention's communications and outreach strategy</w:t>
            </w:r>
          </w:p>
          <w:p w14:paraId="3B4861FE" w14:textId="77777777" w:rsidR="00C37F9F" w:rsidRPr="00F0515A" w:rsidRDefault="007C0AD3" w:rsidP="00697C4B">
            <w:pPr>
              <w:pStyle w:val="ListParagraph"/>
              <w:keepNext/>
              <w:keepLines/>
              <w:numPr>
                <w:ilvl w:val="0"/>
                <w:numId w:val="6"/>
              </w:numPr>
              <w:spacing w:before="120" w:beforeAutospacing="0" w:after="120" w:afterAutospacing="0"/>
              <w:ind w:left="312" w:hanging="340"/>
              <w:rPr>
                <w:rFonts w:ascii="Arial" w:eastAsia="Calibri" w:hAnsi="Arial" w:cs="Arial"/>
                <w:sz w:val="22"/>
                <w:szCs w:val="22"/>
                <w:lang w:val="en-GB"/>
              </w:rPr>
            </w:pPr>
            <w:r w:rsidRPr="007C0AD3">
              <w:rPr>
                <w:rFonts w:ascii="Arial" w:hAnsi="Arial" w:cs="Arial"/>
                <w:sz w:val="22"/>
                <w:szCs w:val="22"/>
                <w:lang w:val="en-US"/>
              </w:rPr>
              <w:t>Level of engagement of all actors</w:t>
            </w:r>
            <w:r>
              <w:rPr>
                <w:rFonts w:ascii="Arial" w:hAnsi="Arial" w:cs="Arial"/>
                <w:sz w:val="22"/>
                <w:szCs w:val="22"/>
                <w:lang w:val="en-US"/>
              </w:rPr>
              <w:t xml:space="preserve"> </w:t>
            </w:r>
            <w:r w:rsidRPr="007C0AD3">
              <w:rPr>
                <w:rFonts w:ascii="Arial" w:hAnsi="Arial" w:cs="Arial"/>
                <w:sz w:val="22"/>
                <w:szCs w:val="22"/>
                <w:lang w:val="en-US"/>
              </w:rPr>
              <w:t>(governmental and non-governmental)</w:t>
            </w:r>
            <w:r>
              <w:rPr>
                <w:rFonts w:ascii="Arial" w:hAnsi="Arial" w:cs="Arial"/>
                <w:sz w:val="22"/>
                <w:szCs w:val="22"/>
                <w:lang w:val="en-US"/>
              </w:rPr>
              <w:t xml:space="preserve"> </w:t>
            </w:r>
            <w:r w:rsidRPr="007C0AD3">
              <w:rPr>
                <w:rFonts w:ascii="Arial" w:hAnsi="Arial" w:cs="Arial"/>
                <w:sz w:val="22"/>
                <w:szCs w:val="22"/>
                <w:lang w:val="en-US"/>
              </w:rPr>
              <w:t>concerned with the safeguarding of intangible cultural heritage in related initiatives</w:t>
            </w:r>
          </w:p>
        </w:tc>
        <w:tc>
          <w:tcPr>
            <w:tcW w:w="577" w:type="pct"/>
            <w:shd w:val="clear" w:color="auto" w:fill="auto"/>
          </w:tcPr>
          <w:p w14:paraId="62E41295" w14:textId="77777777" w:rsidR="00C37F9F" w:rsidRPr="009E55F7" w:rsidRDefault="007C0AD3" w:rsidP="00697C4B">
            <w:pPr>
              <w:pStyle w:val="ListParagraph"/>
              <w:keepNext/>
              <w:keepLines/>
              <w:numPr>
                <w:ilvl w:val="0"/>
                <w:numId w:val="6"/>
              </w:numPr>
              <w:spacing w:before="120" w:beforeAutospacing="0" w:after="120" w:afterAutospacing="0"/>
              <w:ind w:left="358" w:hanging="284"/>
              <w:rPr>
                <w:rFonts w:ascii="Arial" w:eastAsia="Calibri" w:hAnsi="Arial" w:cs="Arial"/>
                <w:sz w:val="20"/>
                <w:szCs w:val="20"/>
                <w:lang w:val="en-GB"/>
              </w:rPr>
            </w:pPr>
            <w:r>
              <w:rPr>
                <w:rFonts w:ascii="Arial" w:eastAsia="SimSun" w:hAnsi="Arial" w:cs="Arial"/>
                <w:iCs/>
                <w:sz w:val="22"/>
                <w:szCs w:val="22"/>
                <w:lang w:val="en-US"/>
              </w:rPr>
              <w:t>4</w:t>
            </w:r>
          </w:p>
        </w:tc>
        <w:tc>
          <w:tcPr>
            <w:tcW w:w="673" w:type="pct"/>
            <w:shd w:val="clear" w:color="auto" w:fill="auto"/>
          </w:tcPr>
          <w:p w14:paraId="62A9B8A4" w14:textId="3571BF51" w:rsidR="00C37F9F" w:rsidRPr="009E55F7" w:rsidRDefault="00C37F9F" w:rsidP="00697C4B">
            <w:pPr>
              <w:pStyle w:val="ListParagraph"/>
              <w:keepNext/>
              <w:keepLines/>
              <w:numPr>
                <w:ilvl w:val="0"/>
                <w:numId w:val="6"/>
              </w:numPr>
              <w:spacing w:before="120" w:beforeAutospacing="0" w:after="120" w:afterAutospacing="0"/>
              <w:ind w:left="358" w:hanging="284"/>
              <w:rPr>
                <w:rFonts w:ascii="Arial" w:eastAsia="SimSun" w:hAnsi="Arial" w:cs="Arial"/>
                <w:iCs/>
                <w:sz w:val="22"/>
                <w:szCs w:val="22"/>
                <w:lang w:val="en-US"/>
              </w:rPr>
            </w:pPr>
            <w:r>
              <w:rPr>
                <w:rFonts w:ascii="Arial" w:eastAsia="SimSun" w:hAnsi="Arial" w:cs="Arial"/>
                <w:iCs/>
                <w:sz w:val="22"/>
                <w:szCs w:val="22"/>
                <w:lang w:val="en-US"/>
              </w:rPr>
              <w:t>15 of which 10</w:t>
            </w:r>
            <w:r w:rsidRPr="001B0E44">
              <w:rPr>
                <w:rFonts w:ascii="Arial" w:eastAsia="SimSun" w:hAnsi="Arial" w:cs="Arial"/>
                <w:iCs/>
                <w:sz w:val="22"/>
                <w:szCs w:val="22"/>
                <w:lang w:val="en-US"/>
              </w:rPr>
              <w:t xml:space="preserve"> in Africa and </w:t>
            </w:r>
            <w:r>
              <w:rPr>
                <w:rFonts w:ascii="Arial" w:eastAsia="SimSun" w:hAnsi="Arial" w:cs="Arial"/>
                <w:iCs/>
                <w:sz w:val="22"/>
                <w:szCs w:val="22"/>
                <w:lang w:val="en-US"/>
              </w:rPr>
              <w:t>5</w:t>
            </w:r>
            <w:r w:rsidRPr="001B0E44">
              <w:rPr>
                <w:rFonts w:ascii="Arial" w:eastAsia="SimSun" w:hAnsi="Arial" w:cs="Arial"/>
                <w:iCs/>
                <w:sz w:val="22"/>
                <w:szCs w:val="22"/>
                <w:lang w:val="en-US"/>
              </w:rPr>
              <w:t xml:space="preserve"> SIDS</w:t>
            </w:r>
          </w:p>
        </w:tc>
        <w:tc>
          <w:tcPr>
            <w:tcW w:w="2450" w:type="pct"/>
          </w:tcPr>
          <w:p w14:paraId="1469CF9D" w14:textId="56DA29F5" w:rsidR="00C37F9F" w:rsidRPr="009E55F7" w:rsidRDefault="00AA2823" w:rsidP="00AA2823">
            <w:pPr>
              <w:pStyle w:val="ListParagraph"/>
              <w:keepNext/>
              <w:keepLines/>
              <w:numPr>
                <w:ilvl w:val="0"/>
                <w:numId w:val="6"/>
              </w:numPr>
              <w:spacing w:before="120" w:beforeAutospacing="0" w:after="120" w:afterAutospacing="0"/>
              <w:ind w:left="358" w:hanging="284"/>
              <w:rPr>
                <w:rFonts w:ascii="Arial" w:eastAsia="SimSun" w:hAnsi="Arial" w:cs="Arial"/>
                <w:iCs/>
                <w:sz w:val="22"/>
                <w:szCs w:val="22"/>
                <w:lang w:val="en-US"/>
              </w:rPr>
            </w:pPr>
            <w:r>
              <w:rPr>
                <w:rFonts w:ascii="Arial" w:eastAsia="SimSun" w:hAnsi="Arial" w:cs="Arial"/>
                <w:iCs/>
                <w:sz w:val="22"/>
                <w:szCs w:val="22"/>
                <w:lang w:val="en-US"/>
              </w:rPr>
              <w:t xml:space="preserve">Activities in the area of </w:t>
            </w:r>
            <w:r w:rsidR="007C0AD3" w:rsidRPr="006F7E10">
              <w:rPr>
                <w:rFonts w:ascii="Arial" w:eastAsia="SimSun" w:hAnsi="Arial" w:cs="Arial"/>
                <w:iCs/>
                <w:sz w:val="22"/>
                <w:szCs w:val="22"/>
                <w:lang w:val="en-US"/>
              </w:rPr>
              <w:t xml:space="preserve">outreach and communication </w:t>
            </w:r>
            <w:r>
              <w:rPr>
                <w:rFonts w:ascii="Arial" w:eastAsia="SimSun" w:hAnsi="Arial" w:cs="Arial"/>
                <w:iCs/>
                <w:sz w:val="22"/>
                <w:szCs w:val="22"/>
                <w:lang w:val="en-US"/>
              </w:rPr>
              <w:t xml:space="preserve">for the 2003 Convention </w:t>
            </w:r>
            <w:r w:rsidR="007C0AD3" w:rsidRPr="006F7E10">
              <w:rPr>
                <w:rFonts w:ascii="Arial" w:eastAsia="SimSun" w:hAnsi="Arial" w:cs="Arial"/>
                <w:iCs/>
                <w:sz w:val="22"/>
                <w:szCs w:val="22"/>
                <w:lang w:val="en-US"/>
              </w:rPr>
              <w:t>currently under development</w:t>
            </w:r>
          </w:p>
        </w:tc>
      </w:tr>
    </w:tbl>
    <w:p w14:paraId="6C8FDA7C" w14:textId="77777777" w:rsidR="009E55F7" w:rsidRPr="009E55F7" w:rsidRDefault="009E55F7" w:rsidP="00C37F9F">
      <w:pPr>
        <w:spacing w:after="120"/>
        <w:jc w:val="both"/>
        <w:rPr>
          <w:rFonts w:ascii="Arial" w:eastAsia="Malgun Gothic" w:hAnsi="Arial" w:cs="Arial"/>
          <w:snapToGrid w:val="0"/>
          <w:sz w:val="22"/>
          <w:szCs w:val="22"/>
          <w:highlight w:val="cyan"/>
          <w:lang w:val="en-GB" w:eastAsia="ko-KR"/>
        </w:rPr>
      </w:pPr>
    </w:p>
    <w:sectPr w:rsidR="009E55F7" w:rsidRPr="009E55F7" w:rsidSect="00A23FF6">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A78E" w16cid:durableId="1F7448C2"/>
  <w16cid:commentId w16cid:paraId="32ABF754" w16cid:durableId="1F7448C3"/>
  <w16cid:commentId w16cid:paraId="10A23438" w16cid:durableId="1F7448C4"/>
  <w16cid:commentId w16cid:paraId="641BAE82" w16cid:durableId="1F7448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7A2EB" w14:textId="77777777" w:rsidR="00902A28" w:rsidRDefault="00902A28" w:rsidP="00655736">
      <w:r>
        <w:separator/>
      </w:r>
    </w:p>
  </w:endnote>
  <w:endnote w:type="continuationSeparator" w:id="0">
    <w:p w14:paraId="10E792D7" w14:textId="77777777" w:rsidR="00902A28" w:rsidRDefault="00902A2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7E7E1" w14:textId="77777777" w:rsidR="00902A28" w:rsidRDefault="00902A28" w:rsidP="00655736">
      <w:r>
        <w:separator/>
      </w:r>
    </w:p>
  </w:footnote>
  <w:footnote w:type="continuationSeparator" w:id="0">
    <w:p w14:paraId="1DDB68D6" w14:textId="77777777" w:rsidR="00902A28" w:rsidRDefault="00902A28"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4B03" w14:textId="00D83FEF" w:rsidR="00A23FF6" w:rsidRPr="00C23A97" w:rsidRDefault="00A23FF6" w:rsidP="00A23FF6">
    <w:pPr>
      <w:pStyle w:val="Header"/>
      <w:rPr>
        <w:rFonts w:ascii="Arial" w:hAnsi="Arial" w:cs="Arial"/>
        <w:lang w:val="en-GB"/>
      </w:rPr>
    </w:pPr>
    <w:r>
      <w:rPr>
        <w:rFonts w:ascii="Arial" w:hAnsi="Arial" w:cs="Arial"/>
        <w:sz w:val="20"/>
        <w:szCs w:val="20"/>
        <w:lang w:val="en-GB"/>
      </w:rPr>
      <w:t>ITH/18/13</w:t>
    </w:r>
    <w:r w:rsidRPr="00C23A97">
      <w:rPr>
        <w:rFonts w:ascii="Arial" w:hAnsi="Arial" w:cs="Arial"/>
        <w:sz w:val="20"/>
        <w:szCs w:val="20"/>
        <w:lang w:val="en-GB"/>
      </w:rPr>
      <w:t>.</w:t>
    </w:r>
    <w:r>
      <w:rPr>
        <w:rFonts w:ascii="Arial" w:hAnsi="Arial" w:cs="Arial"/>
        <w:sz w:val="20"/>
        <w:szCs w:val="20"/>
        <w:lang w:val="en-GB"/>
      </w:rPr>
      <w:t>COM/5</w:t>
    </w:r>
    <w:r w:rsidR="00BE2A7D">
      <w:rPr>
        <w:rFonts w:ascii="Arial" w:hAnsi="Arial" w:cs="Arial"/>
        <w:sz w:val="20"/>
        <w:szCs w:val="20"/>
        <w:lang w:val="en-GB"/>
      </w:rPr>
      <w:t xml:space="preserve"> Rev.</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7F39B0">
      <w:rPr>
        <w:rStyle w:val="PageNumber"/>
        <w:rFonts w:ascii="Arial" w:hAnsi="Arial" w:cs="Arial"/>
        <w:noProof/>
        <w:sz w:val="20"/>
        <w:szCs w:val="20"/>
        <w:lang w:val="en-GB"/>
      </w:rPr>
      <w:t>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BAD" w14:textId="444A4B21" w:rsidR="00A23FF6" w:rsidRPr="0063300C" w:rsidRDefault="00A23FF6" w:rsidP="00A23FF6">
    <w:pPr>
      <w:pStyle w:val="Header"/>
      <w:jc w:val="right"/>
      <w:rPr>
        <w:rFonts w:ascii="Arial" w:hAnsi="Arial" w:cs="Arial"/>
        <w:lang w:val="en-GB"/>
      </w:rPr>
    </w:pPr>
    <w:r>
      <w:rPr>
        <w:rFonts w:ascii="Arial" w:hAnsi="Arial" w:cs="Arial"/>
        <w:sz w:val="20"/>
        <w:szCs w:val="20"/>
        <w:lang w:val="en-GB"/>
      </w:rPr>
      <w:t>ITH/18/13</w:t>
    </w:r>
    <w:r w:rsidRPr="0063300C">
      <w:rPr>
        <w:rFonts w:ascii="Arial" w:hAnsi="Arial" w:cs="Arial"/>
        <w:sz w:val="20"/>
        <w:szCs w:val="20"/>
        <w:lang w:val="en-GB"/>
      </w:rPr>
      <w:t>.</w:t>
    </w:r>
    <w:r>
      <w:rPr>
        <w:rFonts w:ascii="Arial" w:hAnsi="Arial" w:cs="Arial"/>
        <w:sz w:val="20"/>
        <w:szCs w:val="20"/>
        <w:lang w:val="en-GB"/>
      </w:rPr>
      <w:t>COM</w:t>
    </w:r>
    <w:r w:rsidRPr="0063300C">
      <w:rPr>
        <w:rFonts w:ascii="Arial" w:hAnsi="Arial" w:cs="Arial"/>
        <w:sz w:val="20"/>
        <w:szCs w:val="20"/>
        <w:lang w:val="en-GB"/>
      </w:rPr>
      <w:t>/</w:t>
    </w:r>
    <w:r>
      <w:rPr>
        <w:rFonts w:ascii="Arial" w:hAnsi="Arial" w:cs="Arial"/>
        <w:sz w:val="20"/>
        <w:szCs w:val="20"/>
        <w:lang w:val="en-GB"/>
      </w:rPr>
      <w:t>5</w:t>
    </w:r>
    <w:r w:rsidR="00BE2A7D">
      <w:rPr>
        <w:rFonts w:ascii="Arial" w:hAnsi="Arial" w:cs="Arial"/>
        <w:sz w:val="20"/>
        <w:szCs w:val="20"/>
        <w:lang w:val="en-GB"/>
      </w:rPr>
      <w:t xml:space="preserve"> Rev.</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7F39B0">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E7A8" w14:textId="77777777" w:rsidR="00A23FF6" w:rsidRPr="00E538F9" w:rsidRDefault="00A23FF6" w:rsidP="00A23FF6">
    <w:pPr>
      <w:pStyle w:val="Header"/>
      <w:rPr>
        <w:sz w:val="22"/>
        <w:szCs w:val="22"/>
      </w:rPr>
    </w:pPr>
    <w:r w:rsidRPr="00E538F9">
      <w:rPr>
        <w:noProof/>
        <w:sz w:val="22"/>
        <w:szCs w:val="22"/>
        <w:lang w:val="en-US" w:eastAsia="ko-KR"/>
      </w:rPr>
      <w:drawing>
        <wp:anchor distT="0" distB="0" distL="114300" distR="114300" simplePos="0" relativeHeight="251661312" behindDoc="0" locked="0" layoutInCell="1" allowOverlap="1" wp14:anchorId="745904DA" wp14:editId="161C2206">
          <wp:simplePos x="0" y="0"/>
          <wp:positionH relativeFrom="column">
            <wp:posOffset>-567690</wp:posOffset>
          </wp:positionH>
          <wp:positionV relativeFrom="paragraph">
            <wp:posOffset>3810</wp:posOffset>
          </wp:positionV>
          <wp:extent cx="2228215" cy="1367790"/>
          <wp:effectExtent l="0" t="0" r="635" b="3810"/>
          <wp:wrapNone/>
          <wp:docPr id="5" name="Picture 5"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BE401" w14:textId="77777777" w:rsidR="00A23FF6" w:rsidRPr="00F30DC6" w:rsidRDefault="00A23FF6" w:rsidP="00A23FF6">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7847019B" w14:textId="0FEE6315" w:rsidR="00A23FF6" w:rsidRPr="009D5428" w:rsidRDefault="00A23FF6" w:rsidP="00A23FF6">
    <w:pPr>
      <w:jc w:val="right"/>
      <w:rPr>
        <w:rFonts w:ascii="Arial" w:hAnsi="Arial" w:cs="Arial"/>
        <w:b/>
        <w:sz w:val="22"/>
        <w:szCs w:val="22"/>
        <w:lang w:val="en-GB"/>
      </w:rPr>
    </w:pPr>
    <w:r w:rsidRPr="007C0E13">
      <w:rPr>
        <w:rFonts w:ascii="Arial" w:hAnsi="Arial" w:cs="Arial"/>
        <w:b/>
        <w:sz w:val="22"/>
        <w:szCs w:val="22"/>
        <w:lang w:val="en-GB"/>
      </w:rPr>
      <w:t>ITH/1</w:t>
    </w:r>
    <w:r w:rsidRPr="007C0E13">
      <w:rPr>
        <w:rFonts w:ascii="Arial" w:eastAsiaTheme="minorEastAsia" w:hAnsi="Arial" w:cs="Arial"/>
        <w:b/>
        <w:sz w:val="22"/>
        <w:szCs w:val="22"/>
        <w:lang w:val="en-GB" w:eastAsia="ko-KR"/>
      </w:rPr>
      <w:t>8</w:t>
    </w:r>
    <w:r w:rsidRPr="007C0E13">
      <w:rPr>
        <w:rFonts w:ascii="Arial" w:hAnsi="Arial" w:cs="Arial"/>
        <w:b/>
        <w:sz w:val="22"/>
        <w:szCs w:val="22"/>
        <w:lang w:val="en-GB"/>
      </w:rPr>
      <w:t>/13.COM/</w:t>
    </w:r>
    <w:r>
      <w:rPr>
        <w:rFonts w:ascii="Arial" w:hAnsi="Arial" w:cs="Arial"/>
        <w:b/>
        <w:sz w:val="22"/>
        <w:szCs w:val="22"/>
        <w:lang w:val="en-GB"/>
      </w:rPr>
      <w:t>5</w:t>
    </w:r>
    <w:r w:rsidR="00BE2A7D">
      <w:rPr>
        <w:rFonts w:ascii="Arial" w:hAnsi="Arial" w:cs="Arial"/>
        <w:b/>
        <w:sz w:val="22"/>
        <w:szCs w:val="22"/>
        <w:lang w:val="en-GB"/>
      </w:rPr>
      <w:t xml:space="preserve"> Rev.</w:t>
    </w:r>
  </w:p>
  <w:p w14:paraId="57159244" w14:textId="389F0683" w:rsidR="00A23FF6" w:rsidRPr="00337CEB" w:rsidRDefault="00A23FF6" w:rsidP="006E47E7">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sidR="00BE2A7D">
      <w:rPr>
        <w:rFonts w:ascii="Arial" w:hAnsi="Arial" w:cs="Arial"/>
        <w:b/>
        <w:sz w:val="22"/>
        <w:szCs w:val="22"/>
        <w:lang w:val="en-GB"/>
      </w:rPr>
      <w:t>20 November</w:t>
    </w:r>
    <w:r w:rsidR="00BE2A7D"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71991763" w14:textId="77777777" w:rsidR="00A23FF6" w:rsidRPr="00F32C23" w:rsidRDefault="00A23FF6" w:rsidP="00A23FF6">
    <w:pPr>
      <w:jc w:val="right"/>
      <w:rPr>
        <w:rFonts w:ascii="Arial" w:hAnsi="Arial" w:cs="Arial"/>
        <w:b/>
        <w:sz w:val="22"/>
        <w:szCs w:val="22"/>
        <w:lang w:val="en-GB"/>
      </w:rPr>
    </w:pPr>
    <w:r w:rsidRPr="007C0E13">
      <w:rPr>
        <w:rFonts w:ascii="Arial" w:hAnsi="Arial" w:cs="Arial"/>
        <w:b/>
        <w:sz w:val="22"/>
        <w:szCs w:val="22"/>
        <w:lang w:val="en-GB"/>
      </w:rPr>
      <w:t xml:space="preserve">Original: </w:t>
    </w:r>
    <w:r w:rsidRPr="00E22F29">
      <w:rPr>
        <w:rFonts w:ascii="Arial" w:hAnsi="Arial" w:cs="Arial"/>
        <w:b/>
        <w:sz w:val="22"/>
        <w:szCs w:val="22"/>
        <w:lang w:val="en-GB"/>
      </w:rPr>
      <w:t>English</w:t>
    </w:r>
  </w:p>
  <w:p w14:paraId="19232542" w14:textId="77777777" w:rsidR="00A23FF6" w:rsidRPr="00E538F9" w:rsidRDefault="00A23FF6" w:rsidP="00A23FF6">
    <w:pP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F341F16"/>
    <w:multiLevelType w:val="hybridMultilevel"/>
    <w:tmpl w:val="DFD20EA0"/>
    <w:lvl w:ilvl="0" w:tplc="4BEE4030">
      <w:start w:val="15"/>
      <w:numFmt w:val="decimal"/>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3196"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BE5685"/>
    <w:multiLevelType w:val="hybridMultilevel"/>
    <w:tmpl w:val="F5569A9A"/>
    <w:lvl w:ilvl="0" w:tplc="A76C4C48">
      <w:start w:val="1"/>
      <w:numFmt w:val="upperRoman"/>
      <w:lvlText w:val="%1."/>
      <w:lvlJc w:val="left"/>
      <w:pPr>
        <w:ind w:left="1077" w:hanging="717"/>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3447DA"/>
    <w:multiLevelType w:val="hybridMultilevel"/>
    <w:tmpl w:val="36166B00"/>
    <w:lvl w:ilvl="0" w:tplc="40DA70BC">
      <w:start w:val="1"/>
      <w:numFmt w:val="decimal"/>
      <w:pStyle w:val="5GAparabodytext"/>
      <w:lvlText w:val="%1."/>
      <w:lvlJc w:val="left"/>
      <w:pPr>
        <w:ind w:left="720" w:hanging="360"/>
      </w:pPr>
      <w:rPr>
        <w:rFonts w:ascii="Arial" w:hAnsi="Arial" w:cs="Arial" w:hint="default"/>
        <w:b w:val="0"/>
        <w:i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FA18B1"/>
    <w:multiLevelType w:val="hybridMultilevel"/>
    <w:tmpl w:val="F1C47288"/>
    <w:lvl w:ilvl="0" w:tplc="41D8648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C5391B"/>
    <w:multiLevelType w:val="hybridMultilevel"/>
    <w:tmpl w:val="8724F8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7C1C1405"/>
    <w:multiLevelType w:val="multilevel"/>
    <w:tmpl w:val="703C5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5"/>
  </w:num>
  <w:num w:numId="5">
    <w:abstractNumId w:val="2"/>
    <w:lvlOverride w:ilvl="0">
      <w:startOverride w:val="1"/>
    </w:lvlOverride>
  </w:num>
  <w:num w:numId="6">
    <w:abstractNumId w:val="8"/>
  </w:num>
  <w:num w:numId="7">
    <w:abstractNumId w:val="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3"/>
  </w:num>
  <w:num w:numId="31">
    <w:abstractNumId w:val="2"/>
  </w:num>
  <w:num w:numId="32">
    <w:abstractNumId w:val="2"/>
  </w:num>
  <w:num w:numId="33">
    <w:abstractNumId w:val="2"/>
  </w:num>
  <w:num w:numId="34">
    <w:abstractNumId w:val="2"/>
  </w:num>
  <w:num w:numId="35">
    <w:abstractNumId w:val="1"/>
  </w:num>
  <w:num w:numId="36">
    <w:abstractNumId w:val="7"/>
  </w:num>
  <w:num w:numId="3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12345"/>
    <w:rsid w:val="000138AC"/>
    <w:rsid w:val="00015FC3"/>
    <w:rsid w:val="00016C24"/>
    <w:rsid w:val="00017722"/>
    <w:rsid w:val="00024196"/>
    <w:rsid w:val="00025FE5"/>
    <w:rsid w:val="00030915"/>
    <w:rsid w:val="00030BBF"/>
    <w:rsid w:val="00034E67"/>
    <w:rsid w:val="00035489"/>
    <w:rsid w:val="0003604D"/>
    <w:rsid w:val="00037D0F"/>
    <w:rsid w:val="00041A66"/>
    <w:rsid w:val="00047F0F"/>
    <w:rsid w:val="0005176E"/>
    <w:rsid w:val="00052A61"/>
    <w:rsid w:val="00055A8D"/>
    <w:rsid w:val="00055B4E"/>
    <w:rsid w:val="00055CA6"/>
    <w:rsid w:val="00065351"/>
    <w:rsid w:val="00070508"/>
    <w:rsid w:val="000765F7"/>
    <w:rsid w:val="00077AB7"/>
    <w:rsid w:val="00081CD8"/>
    <w:rsid w:val="00082515"/>
    <w:rsid w:val="0009078E"/>
    <w:rsid w:val="000912B8"/>
    <w:rsid w:val="00093F2C"/>
    <w:rsid w:val="000A39E7"/>
    <w:rsid w:val="000A4A0F"/>
    <w:rsid w:val="000A4E01"/>
    <w:rsid w:val="000A7F0E"/>
    <w:rsid w:val="000B1C8F"/>
    <w:rsid w:val="000B3904"/>
    <w:rsid w:val="000B4EC7"/>
    <w:rsid w:val="000C0D61"/>
    <w:rsid w:val="000C12FF"/>
    <w:rsid w:val="000C2730"/>
    <w:rsid w:val="000C4B24"/>
    <w:rsid w:val="000C63A7"/>
    <w:rsid w:val="000E1F03"/>
    <w:rsid w:val="000E77D6"/>
    <w:rsid w:val="000F3A3F"/>
    <w:rsid w:val="000F463B"/>
    <w:rsid w:val="000F48E1"/>
    <w:rsid w:val="00102557"/>
    <w:rsid w:val="001028E5"/>
    <w:rsid w:val="0010565D"/>
    <w:rsid w:val="00105F00"/>
    <w:rsid w:val="00110134"/>
    <w:rsid w:val="00111F78"/>
    <w:rsid w:val="001264B3"/>
    <w:rsid w:val="001267B0"/>
    <w:rsid w:val="00130C89"/>
    <w:rsid w:val="001361B4"/>
    <w:rsid w:val="00141C91"/>
    <w:rsid w:val="0014678D"/>
    <w:rsid w:val="00147526"/>
    <w:rsid w:val="00153A6B"/>
    <w:rsid w:val="001553C1"/>
    <w:rsid w:val="00156976"/>
    <w:rsid w:val="0015710B"/>
    <w:rsid w:val="0016419D"/>
    <w:rsid w:val="00164D56"/>
    <w:rsid w:val="00167B10"/>
    <w:rsid w:val="00171B80"/>
    <w:rsid w:val="0017402F"/>
    <w:rsid w:val="0017788D"/>
    <w:rsid w:val="00177A6F"/>
    <w:rsid w:val="00177E0F"/>
    <w:rsid w:val="00186131"/>
    <w:rsid w:val="00193190"/>
    <w:rsid w:val="00193787"/>
    <w:rsid w:val="00196C1B"/>
    <w:rsid w:val="001A2EF7"/>
    <w:rsid w:val="001A6B17"/>
    <w:rsid w:val="001B0E44"/>
    <w:rsid w:val="001B0F73"/>
    <w:rsid w:val="001B2449"/>
    <w:rsid w:val="001C2DB7"/>
    <w:rsid w:val="001C789E"/>
    <w:rsid w:val="001D14FE"/>
    <w:rsid w:val="001D26A2"/>
    <w:rsid w:val="001D5B06"/>
    <w:rsid w:val="001D5C04"/>
    <w:rsid w:val="001D768E"/>
    <w:rsid w:val="001E5FD4"/>
    <w:rsid w:val="001E769A"/>
    <w:rsid w:val="001E7B91"/>
    <w:rsid w:val="001F06B7"/>
    <w:rsid w:val="001F0C27"/>
    <w:rsid w:val="001F26CF"/>
    <w:rsid w:val="001F356E"/>
    <w:rsid w:val="001F6515"/>
    <w:rsid w:val="0020526D"/>
    <w:rsid w:val="002053F8"/>
    <w:rsid w:val="0021460E"/>
    <w:rsid w:val="00221D78"/>
    <w:rsid w:val="00222A2D"/>
    <w:rsid w:val="00222CE2"/>
    <w:rsid w:val="00223029"/>
    <w:rsid w:val="002242A5"/>
    <w:rsid w:val="00225FFA"/>
    <w:rsid w:val="002340EC"/>
    <w:rsid w:val="0023436B"/>
    <w:rsid w:val="00234745"/>
    <w:rsid w:val="002351A6"/>
    <w:rsid w:val="002407AF"/>
    <w:rsid w:val="00246BCD"/>
    <w:rsid w:val="0025454C"/>
    <w:rsid w:val="00255880"/>
    <w:rsid w:val="00263BCC"/>
    <w:rsid w:val="00266487"/>
    <w:rsid w:val="00270DF1"/>
    <w:rsid w:val="0027115B"/>
    <w:rsid w:val="0027466B"/>
    <w:rsid w:val="002827FA"/>
    <w:rsid w:val="002838A5"/>
    <w:rsid w:val="00284330"/>
    <w:rsid w:val="00285BB4"/>
    <w:rsid w:val="00287A81"/>
    <w:rsid w:val="00290C1A"/>
    <w:rsid w:val="002A03F6"/>
    <w:rsid w:val="002A0745"/>
    <w:rsid w:val="002A30BC"/>
    <w:rsid w:val="002B5644"/>
    <w:rsid w:val="002B6112"/>
    <w:rsid w:val="002C09E3"/>
    <w:rsid w:val="002C6D27"/>
    <w:rsid w:val="002D1669"/>
    <w:rsid w:val="002D22B1"/>
    <w:rsid w:val="002D2F6F"/>
    <w:rsid w:val="002E3189"/>
    <w:rsid w:val="002E588E"/>
    <w:rsid w:val="002F16EA"/>
    <w:rsid w:val="002F1A58"/>
    <w:rsid w:val="002F610A"/>
    <w:rsid w:val="003021F9"/>
    <w:rsid w:val="00313901"/>
    <w:rsid w:val="003161CD"/>
    <w:rsid w:val="003301DE"/>
    <w:rsid w:val="003312B3"/>
    <w:rsid w:val="00332E0F"/>
    <w:rsid w:val="00334DBB"/>
    <w:rsid w:val="00337CEB"/>
    <w:rsid w:val="00344B58"/>
    <w:rsid w:val="00345354"/>
    <w:rsid w:val="0034539A"/>
    <w:rsid w:val="00345CB4"/>
    <w:rsid w:val="00350F2C"/>
    <w:rsid w:val="00353FE5"/>
    <w:rsid w:val="003547C0"/>
    <w:rsid w:val="00357989"/>
    <w:rsid w:val="00360418"/>
    <w:rsid w:val="00373E12"/>
    <w:rsid w:val="00374638"/>
    <w:rsid w:val="00375D42"/>
    <w:rsid w:val="00381491"/>
    <w:rsid w:val="003817C7"/>
    <w:rsid w:val="00383074"/>
    <w:rsid w:val="0039274A"/>
    <w:rsid w:val="00396DCE"/>
    <w:rsid w:val="003A365A"/>
    <w:rsid w:val="003A57BA"/>
    <w:rsid w:val="003A598F"/>
    <w:rsid w:val="003B1EFA"/>
    <w:rsid w:val="003C52BF"/>
    <w:rsid w:val="003D069C"/>
    <w:rsid w:val="003D6D5D"/>
    <w:rsid w:val="003D7646"/>
    <w:rsid w:val="003E1836"/>
    <w:rsid w:val="003E3FF4"/>
    <w:rsid w:val="003F113A"/>
    <w:rsid w:val="003F1190"/>
    <w:rsid w:val="003F136C"/>
    <w:rsid w:val="003F3696"/>
    <w:rsid w:val="003F3C3D"/>
    <w:rsid w:val="003F3E63"/>
    <w:rsid w:val="003F4D0F"/>
    <w:rsid w:val="00400B06"/>
    <w:rsid w:val="00401960"/>
    <w:rsid w:val="004043E9"/>
    <w:rsid w:val="00407480"/>
    <w:rsid w:val="00407DF4"/>
    <w:rsid w:val="00414643"/>
    <w:rsid w:val="00414E27"/>
    <w:rsid w:val="00416E08"/>
    <w:rsid w:val="00420657"/>
    <w:rsid w:val="00420D9E"/>
    <w:rsid w:val="00420E10"/>
    <w:rsid w:val="0042236A"/>
    <w:rsid w:val="004326C9"/>
    <w:rsid w:val="00440F72"/>
    <w:rsid w:val="004421E5"/>
    <w:rsid w:val="00443337"/>
    <w:rsid w:val="00444F03"/>
    <w:rsid w:val="0044784B"/>
    <w:rsid w:val="00452284"/>
    <w:rsid w:val="00456E23"/>
    <w:rsid w:val="00457C8E"/>
    <w:rsid w:val="00462C2F"/>
    <w:rsid w:val="00464301"/>
    <w:rsid w:val="00465F03"/>
    <w:rsid w:val="00470788"/>
    <w:rsid w:val="00477694"/>
    <w:rsid w:val="00484C4A"/>
    <w:rsid w:val="004856CA"/>
    <w:rsid w:val="00486032"/>
    <w:rsid w:val="004862BF"/>
    <w:rsid w:val="004862D0"/>
    <w:rsid w:val="00487E67"/>
    <w:rsid w:val="0049633E"/>
    <w:rsid w:val="0049705E"/>
    <w:rsid w:val="004A1E0A"/>
    <w:rsid w:val="004A2071"/>
    <w:rsid w:val="004A3387"/>
    <w:rsid w:val="004A34A0"/>
    <w:rsid w:val="004A3735"/>
    <w:rsid w:val="004B016D"/>
    <w:rsid w:val="004B085F"/>
    <w:rsid w:val="004B2EFA"/>
    <w:rsid w:val="004B3FA6"/>
    <w:rsid w:val="004B441A"/>
    <w:rsid w:val="004C1981"/>
    <w:rsid w:val="004C2D34"/>
    <w:rsid w:val="004D43E4"/>
    <w:rsid w:val="004D748D"/>
    <w:rsid w:val="004F183F"/>
    <w:rsid w:val="004F6F37"/>
    <w:rsid w:val="005008A8"/>
    <w:rsid w:val="005120D0"/>
    <w:rsid w:val="00512F10"/>
    <w:rsid w:val="00513A26"/>
    <w:rsid w:val="00517E52"/>
    <w:rsid w:val="00521D5E"/>
    <w:rsid w:val="00526B7B"/>
    <w:rsid w:val="005300AF"/>
    <w:rsid w:val="005308CE"/>
    <w:rsid w:val="0053130D"/>
    <w:rsid w:val="0053318C"/>
    <w:rsid w:val="00533ED0"/>
    <w:rsid w:val="00534718"/>
    <w:rsid w:val="00534939"/>
    <w:rsid w:val="005409F1"/>
    <w:rsid w:val="00543982"/>
    <w:rsid w:val="00554348"/>
    <w:rsid w:val="00554A55"/>
    <w:rsid w:val="0055694F"/>
    <w:rsid w:val="0057439C"/>
    <w:rsid w:val="00576885"/>
    <w:rsid w:val="00576F09"/>
    <w:rsid w:val="00577449"/>
    <w:rsid w:val="00583401"/>
    <w:rsid w:val="0058346E"/>
    <w:rsid w:val="00584A41"/>
    <w:rsid w:val="00592A75"/>
    <w:rsid w:val="00593A23"/>
    <w:rsid w:val="00593DFB"/>
    <w:rsid w:val="00595169"/>
    <w:rsid w:val="005A2C03"/>
    <w:rsid w:val="005A30C6"/>
    <w:rsid w:val="005A3416"/>
    <w:rsid w:val="005A5DFA"/>
    <w:rsid w:val="005B0127"/>
    <w:rsid w:val="005B21C0"/>
    <w:rsid w:val="005B50C7"/>
    <w:rsid w:val="005B7A35"/>
    <w:rsid w:val="005C4B73"/>
    <w:rsid w:val="005C6DC2"/>
    <w:rsid w:val="005D63D9"/>
    <w:rsid w:val="005D71F0"/>
    <w:rsid w:val="005E1D2B"/>
    <w:rsid w:val="005E506A"/>
    <w:rsid w:val="005E7074"/>
    <w:rsid w:val="005F2BAF"/>
    <w:rsid w:val="005F2D0F"/>
    <w:rsid w:val="005F6BB1"/>
    <w:rsid w:val="00600D93"/>
    <w:rsid w:val="00605026"/>
    <w:rsid w:val="0061195B"/>
    <w:rsid w:val="00615E42"/>
    <w:rsid w:val="00617AFB"/>
    <w:rsid w:val="0062614A"/>
    <w:rsid w:val="0063300C"/>
    <w:rsid w:val="00642B3A"/>
    <w:rsid w:val="0064552C"/>
    <w:rsid w:val="00650593"/>
    <w:rsid w:val="00655736"/>
    <w:rsid w:val="006574B6"/>
    <w:rsid w:val="00663B5A"/>
    <w:rsid w:val="00663B8D"/>
    <w:rsid w:val="0066452B"/>
    <w:rsid w:val="0067037D"/>
    <w:rsid w:val="00680978"/>
    <w:rsid w:val="00683A10"/>
    <w:rsid w:val="0068443C"/>
    <w:rsid w:val="00686334"/>
    <w:rsid w:val="00687586"/>
    <w:rsid w:val="00691C76"/>
    <w:rsid w:val="0069297A"/>
    <w:rsid w:val="0069302D"/>
    <w:rsid w:val="00696C8D"/>
    <w:rsid w:val="00697C4B"/>
    <w:rsid w:val="006A2AC2"/>
    <w:rsid w:val="006A34EC"/>
    <w:rsid w:val="006A3617"/>
    <w:rsid w:val="006B0F7B"/>
    <w:rsid w:val="006B5877"/>
    <w:rsid w:val="006B5DA9"/>
    <w:rsid w:val="006B6250"/>
    <w:rsid w:val="006B688A"/>
    <w:rsid w:val="006B72CB"/>
    <w:rsid w:val="006D2B4B"/>
    <w:rsid w:val="006E46E4"/>
    <w:rsid w:val="006E47E7"/>
    <w:rsid w:val="006F286C"/>
    <w:rsid w:val="006F3B72"/>
    <w:rsid w:val="006F60D1"/>
    <w:rsid w:val="006F6E9A"/>
    <w:rsid w:val="006F704E"/>
    <w:rsid w:val="006F7E10"/>
    <w:rsid w:val="00712F93"/>
    <w:rsid w:val="00715616"/>
    <w:rsid w:val="00715DC6"/>
    <w:rsid w:val="00716E95"/>
    <w:rsid w:val="00717C8C"/>
    <w:rsid w:val="00717DA5"/>
    <w:rsid w:val="007214AA"/>
    <w:rsid w:val="0072396E"/>
    <w:rsid w:val="007258B2"/>
    <w:rsid w:val="00730797"/>
    <w:rsid w:val="00731B32"/>
    <w:rsid w:val="0074381F"/>
    <w:rsid w:val="00744484"/>
    <w:rsid w:val="00747566"/>
    <w:rsid w:val="00753DFB"/>
    <w:rsid w:val="00754659"/>
    <w:rsid w:val="0075607A"/>
    <w:rsid w:val="0076485E"/>
    <w:rsid w:val="00772161"/>
    <w:rsid w:val="00773188"/>
    <w:rsid w:val="00783782"/>
    <w:rsid w:val="00784B8C"/>
    <w:rsid w:val="00786255"/>
    <w:rsid w:val="007879E1"/>
    <w:rsid w:val="00793FB1"/>
    <w:rsid w:val="0079780A"/>
    <w:rsid w:val="00797EF0"/>
    <w:rsid w:val="007A6C67"/>
    <w:rsid w:val="007B1F09"/>
    <w:rsid w:val="007B307B"/>
    <w:rsid w:val="007B31D0"/>
    <w:rsid w:val="007B74E4"/>
    <w:rsid w:val="007C0AD3"/>
    <w:rsid w:val="007C0BEB"/>
    <w:rsid w:val="007C4275"/>
    <w:rsid w:val="007C4F03"/>
    <w:rsid w:val="007D0F35"/>
    <w:rsid w:val="007D2115"/>
    <w:rsid w:val="007D6685"/>
    <w:rsid w:val="007E46E7"/>
    <w:rsid w:val="007E63DA"/>
    <w:rsid w:val="007F1AD8"/>
    <w:rsid w:val="007F39B0"/>
    <w:rsid w:val="007F3B2F"/>
    <w:rsid w:val="007F4418"/>
    <w:rsid w:val="007F6A09"/>
    <w:rsid w:val="007F74F8"/>
    <w:rsid w:val="00807942"/>
    <w:rsid w:val="008115BB"/>
    <w:rsid w:val="00814B1D"/>
    <w:rsid w:val="00817FFC"/>
    <w:rsid w:val="00823A11"/>
    <w:rsid w:val="00824BB5"/>
    <w:rsid w:val="00826533"/>
    <w:rsid w:val="00830AF5"/>
    <w:rsid w:val="00830ECC"/>
    <w:rsid w:val="00831EFA"/>
    <w:rsid w:val="0083490A"/>
    <w:rsid w:val="008361A4"/>
    <w:rsid w:val="00836995"/>
    <w:rsid w:val="008456A7"/>
    <w:rsid w:val="0084571E"/>
    <w:rsid w:val="00846154"/>
    <w:rsid w:val="0085175C"/>
    <w:rsid w:val="0085405E"/>
    <w:rsid w:val="0085414A"/>
    <w:rsid w:val="00857A9B"/>
    <w:rsid w:val="0086269D"/>
    <w:rsid w:val="0086543A"/>
    <w:rsid w:val="00865A19"/>
    <w:rsid w:val="0086679D"/>
    <w:rsid w:val="00866D13"/>
    <w:rsid w:val="008672EA"/>
    <w:rsid w:val="008674BA"/>
    <w:rsid w:val="008708AA"/>
    <w:rsid w:val="008724E5"/>
    <w:rsid w:val="00875223"/>
    <w:rsid w:val="0088396D"/>
    <w:rsid w:val="00884A9D"/>
    <w:rsid w:val="0088512B"/>
    <w:rsid w:val="0089284F"/>
    <w:rsid w:val="00896532"/>
    <w:rsid w:val="00897BF0"/>
    <w:rsid w:val="00897D46"/>
    <w:rsid w:val="008A1A5D"/>
    <w:rsid w:val="008A2B2D"/>
    <w:rsid w:val="008A2CB4"/>
    <w:rsid w:val="008A4E1E"/>
    <w:rsid w:val="008B1BA7"/>
    <w:rsid w:val="008B79CA"/>
    <w:rsid w:val="008C296C"/>
    <w:rsid w:val="008C745E"/>
    <w:rsid w:val="008C78B5"/>
    <w:rsid w:val="008C7A73"/>
    <w:rsid w:val="008D4305"/>
    <w:rsid w:val="008D59A5"/>
    <w:rsid w:val="008D59B4"/>
    <w:rsid w:val="008D60E5"/>
    <w:rsid w:val="008E1A85"/>
    <w:rsid w:val="008E6F39"/>
    <w:rsid w:val="008E6FC7"/>
    <w:rsid w:val="008F69E6"/>
    <w:rsid w:val="008F732C"/>
    <w:rsid w:val="00902741"/>
    <w:rsid w:val="00902A28"/>
    <w:rsid w:val="00902EB2"/>
    <w:rsid w:val="00912EF4"/>
    <w:rsid w:val="009163A7"/>
    <w:rsid w:val="00916E45"/>
    <w:rsid w:val="00921BDC"/>
    <w:rsid w:val="009440FC"/>
    <w:rsid w:val="009447C8"/>
    <w:rsid w:val="00946D0B"/>
    <w:rsid w:val="00955877"/>
    <w:rsid w:val="009622BA"/>
    <w:rsid w:val="009730AC"/>
    <w:rsid w:val="009843DF"/>
    <w:rsid w:val="00984929"/>
    <w:rsid w:val="00984E3C"/>
    <w:rsid w:val="00985DBA"/>
    <w:rsid w:val="00986708"/>
    <w:rsid w:val="00987FA4"/>
    <w:rsid w:val="00990771"/>
    <w:rsid w:val="009A18CD"/>
    <w:rsid w:val="009A19E4"/>
    <w:rsid w:val="009B0A21"/>
    <w:rsid w:val="009B0F7B"/>
    <w:rsid w:val="009B5DAF"/>
    <w:rsid w:val="009B6E8E"/>
    <w:rsid w:val="009C13B8"/>
    <w:rsid w:val="009C3C71"/>
    <w:rsid w:val="009D5428"/>
    <w:rsid w:val="009E46F1"/>
    <w:rsid w:val="009E55F7"/>
    <w:rsid w:val="009F295C"/>
    <w:rsid w:val="00A05B27"/>
    <w:rsid w:val="00A12558"/>
    <w:rsid w:val="00A13903"/>
    <w:rsid w:val="00A1753C"/>
    <w:rsid w:val="00A23FF6"/>
    <w:rsid w:val="00A319E0"/>
    <w:rsid w:val="00A34ED5"/>
    <w:rsid w:val="00A37A72"/>
    <w:rsid w:val="00A45DBF"/>
    <w:rsid w:val="00A51288"/>
    <w:rsid w:val="00A57DF8"/>
    <w:rsid w:val="00A6076D"/>
    <w:rsid w:val="00A639FB"/>
    <w:rsid w:val="00A65048"/>
    <w:rsid w:val="00A71444"/>
    <w:rsid w:val="00A755A2"/>
    <w:rsid w:val="00A7793F"/>
    <w:rsid w:val="00A86852"/>
    <w:rsid w:val="00A92171"/>
    <w:rsid w:val="00A94FF1"/>
    <w:rsid w:val="00AA2823"/>
    <w:rsid w:val="00AA352F"/>
    <w:rsid w:val="00AA3930"/>
    <w:rsid w:val="00AA6660"/>
    <w:rsid w:val="00AA77DE"/>
    <w:rsid w:val="00AA7918"/>
    <w:rsid w:val="00AA7D1A"/>
    <w:rsid w:val="00AB2C36"/>
    <w:rsid w:val="00AB64F0"/>
    <w:rsid w:val="00AB6DDE"/>
    <w:rsid w:val="00AB70B6"/>
    <w:rsid w:val="00AC1C4E"/>
    <w:rsid w:val="00AC78CB"/>
    <w:rsid w:val="00AD1A86"/>
    <w:rsid w:val="00AD667E"/>
    <w:rsid w:val="00AE103E"/>
    <w:rsid w:val="00AE1699"/>
    <w:rsid w:val="00AE41F3"/>
    <w:rsid w:val="00AF0385"/>
    <w:rsid w:val="00AF0A07"/>
    <w:rsid w:val="00AF1C74"/>
    <w:rsid w:val="00AF4AEC"/>
    <w:rsid w:val="00AF625E"/>
    <w:rsid w:val="00AF65EB"/>
    <w:rsid w:val="00AF7329"/>
    <w:rsid w:val="00B04EC7"/>
    <w:rsid w:val="00B113C5"/>
    <w:rsid w:val="00B12EB4"/>
    <w:rsid w:val="00B13171"/>
    <w:rsid w:val="00B164A9"/>
    <w:rsid w:val="00B20134"/>
    <w:rsid w:val="00B2102E"/>
    <w:rsid w:val="00B24793"/>
    <w:rsid w:val="00B271BA"/>
    <w:rsid w:val="00B272A1"/>
    <w:rsid w:val="00B32B70"/>
    <w:rsid w:val="00B37F9D"/>
    <w:rsid w:val="00B4013C"/>
    <w:rsid w:val="00B42F95"/>
    <w:rsid w:val="00B440B8"/>
    <w:rsid w:val="00B46803"/>
    <w:rsid w:val="00B52205"/>
    <w:rsid w:val="00B537C0"/>
    <w:rsid w:val="00B547EE"/>
    <w:rsid w:val="00B54EAE"/>
    <w:rsid w:val="00B57D8A"/>
    <w:rsid w:val="00B61CA4"/>
    <w:rsid w:val="00B6554E"/>
    <w:rsid w:val="00B66EF5"/>
    <w:rsid w:val="00B701A8"/>
    <w:rsid w:val="00B767BD"/>
    <w:rsid w:val="00B81C81"/>
    <w:rsid w:val="00B8764B"/>
    <w:rsid w:val="00B96A76"/>
    <w:rsid w:val="00BA2176"/>
    <w:rsid w:val="00BA3014"/>
    <w:rsid w:val="00BA3704"/>
    <w:rsid w:val="00BA5D64"/>
    <w:rsid w:val="00BB04AF"/>
    <w:rsid w:val="00BB299B"/>
    <w:rsid w:val="00BC54F3"/>
    <w:rsid w:val="00BD52C9"/>
    <w:rsid w:val="00BD73B6"/>
    <w:rsid w:val="00BE2A7D"/>
    <w:rsid w:val="00BE6354"/>
    <w:rsid w:val="00BF7CE0"/>
    <w:rsid w:val="00C101A3"/>
    <w:rsid w:val="00C12868"/>
    <w:rsid w:val="00C138D1"/>
    <w:rsid w:val="00C15B8F"/>
    <w:rsid w:val="00C15F34"/>
    <w:rsid w:val="00C16731"/>
    <w:rsid w:val="00C23A97"/>
    <w:rsid w:val="00C25DC5"/>
    <w:rsid w:val="00C26AD0"/>
    <w:rsid w:val="00C33034"/>
    <w:rsid w:val="00C37F9F"/>
    <w:rsid w:val="00C50F0E"/>
    <w:rsid w:val="00C55E16"/>
    <w:rsid w:val="00C64855"/>
    <w:rsid w:val="00C7046B"/>
    <w:rsid w:val="00C70EA7"/>
    <w:rsid w:val="00C72E1D"/>
    <w:rsid w:val="00C7433F"/>
    <w:rsid w:val="00C7516E"/>
    <w:rsid w:val="00C75770"/>
    <w:rsid w:val="00C80F2F"/>
    <w:rsid w:val="00C81D43"/>
    <w:rsid w:val="00C904BB"/>
    <w:rsid w:val="00C970BA"/>
    <w:rsid w:val="00CA14F8"/>
    <w:rsid w:val="00CA2CEF"/>
    <w:rsid w:val="00CA56BB"/>
    <w:rsid w:val="00CB0542"/>
    <w:rsid w:val="00CB0E4E"/>
    <w:rsid w:val="00CB2B0F"/>
    <w:rsid w:val="00CB513B"/>
    <w:rsid w:val="00CD2A0C"/>
    <w:rsid w:val="00CD78A8"/>
    <w:rsid w:val="00CD7BFB"/>
    <w:rsid w:val="00CE6251"/>
    <w:rsid w:val="00CE77E1"/>
    <w:rsid w:val="00CF5BAA"/>
    <w:rsid w:val="00D00B2B"/>
    <w:rsid w:val="00D0162A"/>
    <w:rsid w:val="00D0365B"/>
    <w:rsid w:val="00D1484F"/>
    <w:rsid w:val="00D24877"/>
    <w:rsid w:val="00D40315"/>
    <w:rsid w:val="00D405C4"/>
    <w:rsid w:val="00D44F7A"/>
    <w:rsid w:val="00D47328"/>
    <w:rsid w:val="00D5442F"/>
    <w:rsid w:val="00D60F2F"/>
    <w:rsid w:val="00D650A3"/>
    <w:rsid w:val="00D741AF"/>
    <w:rsid w:val="00D74B78"/>
    <w:rsid w:val="00D820B4"/>
    <w:rsid w:val="00D8250F"/>
    <w:rsid w:val="00D857C9"/>
    <w:rsid w:val="00D85A42"/>
    <w:rsid w:val="00D87504"/>
    <w:rsid w:val="00D95A05"/>
    <w:rsid w:val="00D95C4C"/>
    <w:rsid w:val="00D97072"/>
    <w:rsid w:val="00DA1CEB"/>
    <w:rsid w:val="00DA36ED"/>
    <w:rsid w:val="00DB0619"/>
    <w:rsid w:val="00DC2CEB"/>
    <w:rsid w:val="00DC356E"/>
    <w:rsid w:val="00DD0F52"/>
    <w:rsid w:val="00DD2C4B"/>
    <w:rsid w:val="00DD406E"/>
    <w:rsid w:val="00DD64FE"/>
    <w:rsid w:val="00DE314E"/>
    <w:rsid w:val="00DE34F1"/>
    <w:rsid w:val="00DE404C"/>
    <w:rsid w:val="00DE4B46"/>
    <w:rsid w:val="00DE564D"/>
    <w:rsid w:val="00DE6160"/>
    <w:rsid w:val="00DF01C2"/>
    <w:rsid w:val="00DF178D"/>
    <w:rsid w:val="00DF4942"/>
    <w:rsid w:val="00DF5FE4"/>
    <w:rsid w:val="00E029DA"/>
    <w:rsid w:val="00E0623A"/>
    <w:rsid w:val="00E20608"/>
    <w:rsid w:val="00E23153"/>
    <w:rsid w:val="00E244E1"/>
    <w:rsid w:val="00E35776"/>
    <w:rsid w:val="00E44E8E"/>
    <w:rsid w:val="00E46699"/>
    <w:rsid w:val="00E5296D"/>
    <w:rsid w:val="00E538F9"/>
    <w:rsid w:val="00E57B5B"/>
    <w:rsid w:val="00E627B1"/>
    <w:rsid w:val="00E63750"/>
    <w:rsid w:val="00E65622"/>
    <w:rsid w:val="00E7012B"/>
    <w:rsid w:val="00E70169"/>
    <w:rsid w:val="00E87823"/>
    <w:rsid w:val="00E9376C"/>
    <w:rsid w:val="00E95AE2"/>
    <w:rsid w:val="00E95E96"/>
    <w:rsid w:val="00E9624B"/>
    <w:rsid w:val="00EA15E7"/>
    <w:rsid w:val="00EA1B83"/>
    <w:rsid w:val="00EA2906"/>
    <w:rsid w:val="00EA335E"/>
    <w:rsid w:val="00EA528C"/>
    <w:rsid w:val="00EA5393"/>
    <w:rsid w:val="00EA580C"/>
    <w:rsid w:val="00EA7BD2"/>
    <w:rsid w:val="00EB0C1C"/>
    <w:rsid w:val="00EB4030"/>
    <w:rsid w:val="00EB7914"/>
    <w:rsid w:val="00EC20E7"/>
    <w:rsid w:val="00EC3224"/>
    <w:rsid w:val="00EC6F8D"/>
    <w:rsid w:val="00EC730A"/>
    <w:rsid w:val="00ED3C3E"/>
    <w:rsid w:val="00ED5697"/>
    <w:rsid w:val="00EE39B7"/>
    <w:rsid w:val="00EE47B3"/>
    <w:rsid w:val="00EE49F4"/>
    <w:rsid w:val="00EE7CAC"/>
    <w:rsid w:val="00EF34E2"/>
    <w:rsid w:val="00F03A1F"/>
    <w:rsid w:val="00F0515A"/>
    <w:rsid w:val="00F06E18"/>
    <w:rsid w:val="00F07BB7"/>
    <w:rsid w:val="00F152DF"/>
    <w:rsid w:val="00F208DB"/>
    <w:rsid w:val="00F30275"/>
    <w:rsid w:val="00F304AC"/>
    <w:rsid w:val="00F30DC6"/>
    <w:rsid w:val="00F32C23"/>
    <w:rsid w:val="00F33A93"/>
    <w:rsid w:val="00F33F0C"/>
    <w:rsid w:val="00F36D65"/>
    <w:rsid w:val="00F51347"/>
    <w:rsid w:val="00F53DE9"/>
    <w:rsid w:val="00F54EBF"/>
    <w:rsid w:val="00F566E1"/>
    <w:rsid w:val="00F576CB"/>
    <w:rsid w:val="00F62C75"/>
    <w:rsid w:val="00F62E42"/>
    <w:rsid w:val="00F7035D"/>
    <w:rsid w:val="00F71A02"/>
    <w:rsid w:val="00F74EBF"/>
    <w:rsid w:val="00F90EB3"/>
    <w:rsid w:val="00F91985"/>
    <w:rsid w:val="00F92979"/>
    <w:rsid w:val="00FA0D63"/>
    <w:rsid w:val="00FA42A7"/>
    <w:rsid w:val="00FA62BF"/>
    <w:rsid w:val="00FA7986"/>
    <w:rsid w:val="00FB1F17"/>
    <w:rsid w:val="00FB5EDC"/>
    <w:rsid w:val="00FC0CA2"/>
    <w:rsid w:val="00FC3C29"/>
    <w:rsid w:val="00FC3EDB"/>
    <w:rsid w:val="00FD1226"/>
    <w:rsid w:val="00FD7382"/>
    <w:rsid w:val="00FE1A1F"/>
    <w:rsid w:val="00FE4A0F"/>
    <w:rsid w:val="00FE58EF"/>
    <w:rsid w:val="00FF0A6A"/>
    <w:rsid w:val="00FF35A1"/>
    <w:rsid w:val="00FF4830"/>
    <w:rsid w:val="00FF64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BE021C7"/>
  <w15:docId w15:val="{B2E05B41-6839-47C4-8BDA-134DA8E4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0F463B"/>
    <w:rPr>
      <w:color w:val="0000FF"/>
      <w:u w:val="single"/>
    </w:rPr>
  </w:style>
  <w:style w:type="character" w:customStyle="1" w:styleId="hps">
    <w:name w:val="hps"/>
    <w:rsid w:val="0020526D"/>
  </w:style>
  <w:style w:type="paragraph" w:styleId="ListParagraph">
    <w:name w:val="List Paragraph"/>
    <w:basedOn w:val="Normal"/>
    <w:uiPriority w:val="34"/>
    <w:qFormat/>
    <w:rsid w:val="0020526D"/>
    <w:pPr>
      <w:spacing w:before="100" w:beforeAutospacing="1" w:after="100" w:afterAutospacing="1"/>
    </w:pPr>
  </w:style>
  <w:style w:type="paragraph" w:customStyle="1" w:styleId="Default">
    <w:name w:val="Default"/>
    <w:link w:val="DefaultChar"/>
    <w:rsid w:val="0020526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20526D"/>
    <w:rPr>
      <w:rFonts w:ascii="Arial" w:hAnsi="Arial" w:cs="Arial"/>
      <w:color w:val="000000"/>
      <w:sz w:val="24"/>
      <w:szCs w:val="24"/>
    </w:rPr>
  </w:style>
  <w:style w:type="character" w:styleId="FollowedHyperlink">
    <w:name w:val="FollowedHyperlink"/>
    <w:basedOn w:val="DefaultParagraphFont"/>
    <w:uiPriority w:val="99"/>
    <w:semiHidden/>
    <w:unhideWhenUsed/>
    <w:rsid w:val="0020526D"/>
    <w:rPr>
      <w:color w:val="800080" w:themeColor="followedHyperlink"/>
      <w:u w:val="single"/>
    </w:rPr>
  </w:style>
  <w:style w:type="character" w:styleId="CommentReference">
    <w:name w:val="annotation reference"/>
    <w:basedOn w:val="DefaultParagraphFont"/>
    <w:uiPriority w:val="99"/>
    <w:unhideWhenUsed/>
    <w:rsid w:val="0020526D"/>
    <w:rPr>
      <w:sz w:val="16"/>
      <w:szCs w:val="16"/>
    </w:rPr>
  </w:style>
  <w:style w:type="paragraph" w:styleId="CommentText">
    <w:name w:val="annotation text"/>
    <w:basedOn w:val="Normal"/>
    <w:link w:val="CommentTextChar"/>
    <w:uiPriority w:val="99"/>
    <w:unhideWhenUsed/>
    <w:rsid w:val="0020526D"/>
    <w:rPr>
      <w:sz w:val="20"/>
      <w:szCs w:val="20"/>
    </w:rPr>
  </w:style>
  <w:style w:type="character" w:customStyle="1" w:styleId="CommentTextChar">
    <w:name w:val="Comment Text Char"/>
    <w:basedOn w:val="DefaultParagraphFont"/>
    <w:link w:val="CommentText"/>
    <w:uiPriority w:val="99"/>
    <w:rsid w:val="002052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0526D"/>
    <w:rPr>
      <w:b/>
      <w:bCs/>
    </w:rPr>
  </w:style>
  <w:style w:type="character" w:customStyle="1" w:styleId="CommentSubjectChar">
    <w:name w:val="Comment Subject Char"/>
    <w:basedOn w:val="CommentTextChar"/>
    <w:link w:val="CommentSubject"/>
    <w:uiPriority w:val="99"/>
    <w:semiHidden/>
    <w:rsid w:val="0020526D"/>
    <w:rPr>
      <w:rFonts w:ascii="Times New Roman" w:eastAsia="Times New Roman" w:hAnsi="Times New Roman"/>
      <w:b/>
      <w:bCs/>
    </w:rPr>
  </w:style>
  <w:style w:type="character" w:customStyle="1" w:styleId="textview">
    <w:name w:val="textview"/>
    <w:basedOn w:val="DefaultParagraphFont"/>
    <w:rsid w:val="0020526D"/>
  </w:style>
  <w:style w:type="paragraph" w:styleId="FootnoteText">
    <w:name w:val="footnote text"/>
    <w:basedOn w:val="Normal"/>
    <w:link w:val="FootnoteTextChar"/>
    <w:uiPriority w:val="99"/>
    <w:unhideWhenUsed/>
    <w:rsid w:val="0020526D"/>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20526D"/>
    <w:rPr>
      <w:rFonts w:ascii="Arial" w:eastAsia="Times New Roman" w:hAnsi="Arial"/>
      <w:lang w:val="en-GB"/>
    </w:rPr>
  </w:style>
  <w:style w:type="character" w:styleId="FootnoteReference">
    <w:name w:val="footnote reference"/>
    <w:uiPriority w:val="99"/>
    <w:unhideWhenUsed/>
    <w:rsid w:val="0020526D"/>
    <w:rPr>
      <w:vertAlign w:val="superscript"/>
    </w:rPr>
  </w:style>
  <w:style w:type="character" w:customStyle="1" w:styleId="atenuated">
    <w:name w:val="atenuated"/>
    <w:basedOn w:val="DefaultParagraphFont"/>
    <w:rsid w:val="0020526D"/>
  </w:style>
  <w:style w:type="paragraph" w:styleId="ListBullet">
    <w:name w:val="List Bullet"/>
    <w:basedOn w:val="Normal"/>
    <w:uiPriority w:val="99"/>
    <w:rsid w:val="0020526D"/>
    <w:pPr>
      <w:tabs>
        <w:tab w:val="num" w:pos="360"/>
      </w:tabs>
      <w:spacing w:before="120" w:after="120" w:line="240" w:lineRule="exact"/>
      <w:ind w:left="360" w:hanging="360"/>
      <w:contextualSpacing/>
    </w:pPr>
    <w:rPr>
      <w:rFonts w:ascii="Calibri" w:eastAsia="SimSun" w:hAnsi="Calibri" w:cs="Arial"/>
      <w:sz w:val="22"/>
      <w:szCs w:val="22"/>
      <w:lang w:val="en-GB" w:eastAsia="en-US"/>
    </w:rPr>
  </w:style>
  <w:style w:type="paragraph" w:styleId="Revision">
    <w:name w:val="Revision"/>
    <w:hidden/>
    <w:uiPriority w:val="99"/>
    <w:semiHidden/>
    <w:rsid w:val="0020526D"/>
    <w:rPr>
      <w:rFonts w:ascii="Times New Roman" w:eastAsia="Times New Roman" w:hAnsi="Times New Roman"/>
      <w:sz w:val="24"/>
      <w:szCs w:val="24"/>
    </w:rPr>
  </w:style>
  <w:style w:type="table" w:customStyle="1" w:styleId="TableGrid2">
    <w:name w:val="Table Grid2"/>
    <w:basedOn w:val="TableNormal"/>
    <w:next w:val="TableGrid"/>
    <w:uiPriority w:val="59"/>
    <w:rsid w:val="009E5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F0515A"/>
    <w:rPr>
      <w:b/>
      <w:bCs/>
    </w:rPr>
  </w:style>
  <w:style w:type="paragraph" w:customStyle="1" w:styleId="5GAparabodytext">
    <w:name w:val="5GA para body text"/>
    <w:basedOn w:val="Marge"/>
    <w:autoRedefine/>
    <w:uiPriority w:val="99"/>
    <w:qFormat/>
    <w:rsid w:val="002A03F6"/>
    <w:pPr>
      <w:numPr>
        <w:numId w:val="7"/>
      </w:numPr>
      <w:spacing w:after="120"/>
      <w:ind w:left="567" w:hanging="567"/>
    </w:pPr>
    <w:rPr>
      <w:rFonts w:cs="Arial"/>
      <w:szCs w:val="22"/>
      <w:lang w:val="en-GB"/>
    </w:rPr>
  </w:style>
  <w:style w:type="paragraph" w:customStyle="1" w:styleId="wiki-text">
    <w:name w:val="wiki-text"/>
    <w:basedOn w:val="Normal"/>
    <w:rsid w:val="00CE6251"/>
    <w:pPr>
      <w:spacing w:after="75" w:line="336" w:lineRule="atLeas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6807">
      <w:bodyDiv w:val="1"/>
      <w:marLeft w:val="0"/>
      <w:marRight w:val="0"/>
      <w:marTop w:val="0"/>
      <w:marBottom w:val="0"/>
      <w:divBdr>
        <w:top w:val="none" w:sz="0" w:space="0" w:color="auto"/>
        <w:left w:val="none" w:sz="0" w:space="0" w:color="auto"/>
        <w:bottom w:val="none" w:sz="0" w:space="0" w:color="auto"/>
        <w:right w:val="none" w:sz="0" w:space="0" w:color="auto"/>
      </w:divBdr>
      <w:divsChild>
        <w:div w:id="274867813">
          <w:marLeft w:val="0"/>
          <w:marRight w:val="0"/>
          <w:marTop w:val="0"/>
          <w:marBottom w:val="0"/>
          <w:divBdr>
            <w:top w:val="none" w:sz="0" w:space="0" w:color="auto"/>
            <w:left w:val="none" w:sz="0" w:space="0" w:color="auto"/>
            <w:bottom w:val="none" w:sz="0" w:space="0" w:color="auto"/>
            <w:right w:val="none" w:sz="0" w:space="0" w:color="auto"/>
          </w:divBdr>
          <w:divsChild>
            <w:div w:id="1911043239">
              <w:marLeft w:val="0"/>
              <w:marRight w:val="0"/>
              <w:marTop w:val="0"/>
              <w:marBottom w:val="0"/>
              <w:divBdr>
                <w:top w:val="none" w:sz="0" w:space="0" w:color="auto"/>
                <w:left w:val="none" w:sz="0" w:space="0" w:color="auto"/>
                <w:bottom w:val="none" w:sz="0" w:space="0" w:color="auto"/>
                <w:right w:val="none" w:sz="0" w:space="0" w:color="auto"/>
              </w:divBdr>
              <w:divsChild>
                <w:div w:id="423889907">
                  <w:marLeft w:val="0"/>
                  <w:marRight w:val="0"/>
                  <w:marTop w:val="0"/>
                  <w:marBottom w:val="0"/>
                  <w:divBdr>
                    <w:top w:val="none" w:sz="0" w:space="0" w:color="auto"/>
                    <w:left w:val="none" w:sz="0" w:space="0" w:color="auto"/>
                    <w:bottom w:val="none" w:sz="0" w:space="0" w:color="auto"/>
                    <w:right w:val="none" w:sz="0" w:space="0" w:color="auto"/>
                  </w:divBdr>
                  <w:divsChild>
                    <w:div w:id="229388479">
                      <w:marLeft w:val="0"/>
                      <w:marRight w:val="0"/>
                      <w:marTop w:val="0"/>
                      <w:marBottom w:val="0"/>
                      <w:divBdr>
                        <w:top w:val="none" w:sz="0" w:space="0" w:color="auto"/>
                        <w:left w:val="none" w:sz="0" w:space="0" w:color="auto"/>
                        <w:bottom w:val="none" w:sz="0" w:space="0" w:color="auto"/>
                        <w:right w:val="none" w:sz="0" w:space="0" w:color="auto"/>
                      </w:divBdr>
                      <w:divsChild>
                        <w:div w:id="1546855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90931993">
      <w:bodyDiv w:val="1"/>
      <w:marLeft w:val="0"/>
      <w:marRight w:val="0"/>
      <w:marTop w:val="0"/>
      <w:marBottom w:val="0"/>
      <w:divBdr>
        <w:top w:val="none" w:sz="0" w:space="0" w:color="auto"/>
        <w:left w:val="none" w:sz="0" w:space="0" w:color="auto"/>
        <w:bottom w:val="none" w:sz="0" w:space="0" w:color="auto"/>
        <w:right w:val="none" w:sz="0" w:space="0" w:color="auto"/>
      </w:divBdr>
    </w:div>
    <w:div w:id="538250425">
      <w:bodyDiv w:val="1"/>
      <w:marLeft w:val="0"/>
      <w:marRight w:val="0"/>
      <w:marTop w:val="0"/>
      <w:marBottom w:val="0"/>
      <w:divBdr>
        <w:top w:val="none" w:sz="0" w:space="0" w:color="auto"/>
        <w:left w:val="none" w:sz="0" w:space="0" w:color="auto"/>
        <w:bottom w:val="none" w:sz="0" w:space="0" w:color="auto"/>
        <w:right w:val="none" w:sz="0" w:space="0" w:color="auto"/>
      </w:divBdr>
    </w:div>
    <w:div w:id="545677790">
      <w:bodyDiv w:val="1"/>
      <w:marLeft w:val="0"/>
      <w:marRight w:val="0"/>
      <w:marTop w:val="0"/>
      <w:marBottom w:val="0"/>
      <w:divBdr>
        <w:top w:val="none" w:sz="0" w:space="0" w:color="auto"/>
        <w:left w:val="none" w:sz="0" w:space="0" w:color="auto"/>
        <w:bottom w:val="none" w:sz="0" w:space="0" w:color="auto"/>
        <w:right w:val="none" w:sz="0" w:space="0" w:color="auto"/>
      </w:divBdr>
    </w:div>
    <w:div w:id="71362438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2304860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3178050">
      <w:bodyDiv w:val="1"/>
      <w:marLeft w:val="0"/>
      <w:marRight w:val="0"/>
      <w:marTop w:val="0"/>
      <w:marBottom w:val="0"/>
      <w:divBdr>
        <w:top w:val="none" w:sz="0" w:space="0" w:color="auto"/>
        <w:left w:val="none" w:sz="0" w:space="0" w:color="auto"/>
        <w:bottom w:val="none" w:sz="0" w:space="0" w:color="auto"/>
        <w:right w:val="none" w:sz="0" w:space="0" w:color="auto"/>
      </w:divBdr>
    </w:div>
    <w:div w:id="1237201003">
      <w:bodyDiv w:val="1"/>
      <w:marLeft w:val="0"/>
      <w:marRight w:val="0"/>
      <w:marTop w:val="0"/>
      <w:marBottom w:val="0"/>
      <w:divBdr>
        <w:top w:val="none" w:sz="0" w:space="0" w:color="auto"/>
        <w:left w:val="none" w:sz="0" w:space="0" w:color="auto"/>
        <w:bottom w:val="none" w:sz="0" w:space="0" w:color="auto"/>
        <w:right w:val="none" w:sz="0" w:space="0" w:color="auto"/>
      </w:divBdr>
    </w:div>
    <w:div w:id="1301763899">
      <w:bodyDiv w:val="1"/>
      <w:marLeft w:val="0"/>
      <w:marRight w:val="0"/>
      <w:marTop w:val="0"/>
      <w:marBottom w:val="0"/>
      <w:divBdr>
        <w:top w:val="none" w:sz="0" w:space="0" w:color="auto"/>
        <w:left w:val="none" w:sz="0" w:space="0" w:color="auto"/>
        <w:bottom w:val="none" w:sz="0" w:space="0" w:color="auto"/>
        <w:right w:val="none" w:sz="0" w:space="0" w:color="auto"/>
      </w:divBdr>
    </w:div>
    <w:div w:id="1378309682">
      <w:bodyDiv w:val="1"/>
      <w:marLeft w:val="0"/>
      <w:marRight w:val="0"/>
      <w:marTop w:val="0"/>
      <w:marBottom w:val="0"/>
      <w:divBdr>
        <w:top w:val="none" w:sz="0" w:space="0" w:color="auto"/>
        <w:left w:val="none" w:sz="0" w:space="0" w:color="auto"/>
        <w:bottom w:val="none" w:sz="0" w:space="0" w:color="auto"/>
        <w:right w:val="none" w:sz="0" w:space="0" w:color="auto"/>
      </w:divBdr>
    </w:div>
    <w:div w:id="158737660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5715212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bureau/13.COM%202.BUR/3" TargetMode="External"/><Relationship Id="rId13" Type="http://schemas.openxmlformats.org/officeDocument/2006/relationships/hyperlink" Target="https://ich.unesco.org/doc/src/ITH-18-13.COM-INF.5.2-EN.docx" TargetMode="External"/><Relationship Id="rId18" Type="http://schemas.openxmlformats.org/officeDocument/2006/relationships/hyperlink" Target="https://ich.unesco.org/doc/src/ITH-18-13.COM-13-EN.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h.unesco.org/en/Resolutions/3.GA/9" TargetMode="External"/><Relationship Id="rId7" Type="http://schemas.openxmlformats.org/officeDocument/2006/relationships/endnotes" Target="endnotes.xml"/><Relationship Id="rId12" Type="http://schemas.openxmlformats.org/officeDocument/2006/relationships/hyperlink" Target="https://ich.unesco.org/doc/src/ITH-18-13.COM-8-EN.docx" TargetMode="External"/><Relationship Id="rId17" Type="http://schemas.openxmlformats.org/officeDocument/2006/relationships/hyperlink" Target="https://ich.unesco.org/doc/src/ITH-18-13.COM-INF.5.1-E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en/Decisions/10.COM/10" TargetMode="External"/><Relationship Id="rId20" Type="http://schemas.openxmlformats.org/officeDocument/2006/relationships/hyperlink" Target="https://ich.unesco.org/doc/src/ITH-18-13.COM-11-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13.COM-INF.5.3-EN.docx" TargetMode="External"/><Relationship Id="rId24" Type="http://schemas.openxmlformats.org/officeDocument/2006/relationships/hyperlink" Target="https://ich.unesco.org/doc/src/ITH-18-13.COM-INF.5.3-EN.docx"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ch.unesco.org/en/Decisions/8.COM/5.c.1" TargetMode="External"/><Relationship Id="rId23" Type="http://schemas.openxmlformats.org/officeDocument/2006/relationships/hyperlink" Target="https://ich.unesco.org/doc/src/ITH-18-13.COM-INF.5.2-EN.docx" TargetMode="External"/><Relationship Id="rId28" Type="http://schemas.openxmlformats.org/officeDocument/2006/relationships/fontTable" Target="fontTable.xml"/><Relationship Id="rId10" Type="http://schemas.openxmlformats.org/officeDocument/2006/relationships/hyperlink" Target="https://ich.unesco.org/doc/src/ITH-18-13.COM-INF.5.2-EN.docx" TargetMode="External"/><Relationship Id="rId19" Type="http://schemas.openxmlformats.org/officeDocument/2006/relationships/hyperlink" Target="https://ich.unesco.org/en/project" TargetMode="External"/><Relationship Id="rId4" Type="http://schemas.openxmlformats.org/officeDocument/2006/relationships/settings" Target="settings.xml"/><Relationship Id="rId9" Type="http://schemas.openxmlformats.org/officeDocument/2006/relationships/hyperlink" Target="https://ich.unesco.org/doc/src/ITH-18-13.COM-INF.5.1-EN.docx" TargetMode="External"/><Relationship Id="rId14" Type="http://schemas.openxmlformats.org/officeDocument/2006/relationships/hyperlink" Target="https://ich.unesco.org/doc/src/ITH-18-13.COM-12-EN.docx" TargetMode="External"/><Relationship Id="rId22" Type="http://schemas.openxmlformats.org/officeDocument/2006/relationships/hyperlink" Target="https://ich.unesco.org/doc/src/ITH-18-13.COM-INF.5.1-EN.docx"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B1E0-BEE4-48C5-B47C-A41870F7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33</TotalTime>
  <Pages>11</Pages>
  <Words>4332</Words>
  <Characters>24699</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6</cp:revision>
  <cp:lastPrinted>2018-10-19T12:13:00Z</cp:lastPrinted>
  <dcterms:created xsi:type="dcterms:W3CDTF">2018-11-20T10:58:00Z</dcterms:created>
  <dcterms:modified xsi:type="dcterms:W3CDTF">2018-11-20T16:58:00Z</dcterms:modified>
</cp:coreProperties>
</file>