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89F27" w14:textId="192098A0" w:rsidR="00EC6F8D" w:rsidRPr="004E2E04" w:rsidRDefault="004E2E04" w:rsidP="00A700AF">
      <w:pPr>
        <w:spacing w:before="1440"/>
        <w:jc w:val="center"/>
        <w:rPr>
          <w:rFonts w:ascii="Arial" w:hAnsi="Arial" w:cs="Arial"/>
          <w:b/>
          <w:sz w:val="22"/>
          <w:szCs w:val="22"/>
        </w:rPr>
      </w:pPr>
      <w:r w:rsidRPr="004E2E04">
        <w:rPr>
          <w:rFonts w:ascii="Arial" w:hAnsi="Arial" w:cs="Arial"/>
          <w:b/>
          <w:sz w:val="22"/>
          <w:szCs w:val="22"/>
        </w:rPr>
        <w:t>CONVENTION POUR LA SAUVEGARDE</w:t>
      </w:r>
      <w:r>
        <w:rPr>
          <w:rFonts w:ascii="Arial" w:hAnsi="Arial" w:cs="Arial"/>
          <w:b/>
          <w:sz w:val="22"/>
          <w:szCs w:val="22"/>
        </w:rPr>
        <w:t xml:space="preserve"> </w:t>
      </w:r>
      <w:r w:rsidR="00A700AF">
        <w:rPr>
          <w:rFonts w:ascii="Arial" w:hAnsi="Arial" w:cs="Arial"/>
          <w:b/>
          <w:sz w:val="22"/>
          <w:szCs w:val="22"/>
        </w:rPr>
        <w:t>DU</w:t>
      </w:r>
      <w:r>
        <w:rPr>
          <w:rFonts w:ascii="Arial" w:hAnsi="Arial" w:cs="Arial"/>
          <w:b/>
          <w:sz w:val="22"/>
          <w:szCs w:val="22"/>
        </w:rPr>
        <w:br/>
      </w:r>
      <w:r w:rsidR="00A700AF">
        <w:rPr>
          <w:rFonts w:ascii="Arial" w:hAnsi="Arial" w:cs="Arial"/>
          <w:b/>
          <w:sz w:val="22"/>
          <w:szCs w:val="22"/>
        </w:rPr>
        <w:t>PATRIMOINE CULTUREL IMMATÉRIEL</w:t>
      </w:r>
    </w:p>
    <w:p w14:paraId="619154C8" w14:textId="10FBDB47" w:rsidR="004E2E04" w:rsidRPr="004E2E04" w:rsidRDefault="004E2E04" w:rsidP="00A700AF">
      <w:pPr>
        <w:spacing w:before="1200"/>
        <w:jc w:val="center"/>
        <w:rPr>
          <w:rFonts w:ascii="Arial" w:hAnsi="Arial" w:cs="Arial"/>
          <w:b/>
          <w:sz w:val="22"/>
          <w:szCs w:val="22"/>
        </w:rPr>
      </w:pPr>
      <w:r>
        <w:rPr>
          <w:rFonts w:ascii="Arial" w:hAnsi="Arial" w:cs="Arial"/>
          <w:b/>
          <w:sz w:val="22"/>
          <w:szCs w:val="22"/>
        </w:rPr>
        <w:t xml:space="preserve">COMITÉ </w:t>
      </w:r>
      <w:r w:rsidRPr="004E2E04">
        <w:rPr>
          <w:rFonts w:ascii="Arial" w:hAnsi="Arial" w:cs="Arial"/>
          <w:b/>
          <w:sz w:val="22"/>
          <w:szCs w:val="22"/>
        </w:rPr>
        <w:t>INTERGOUVERNEMENTAL</w:t>
      </w:r>
      <w:r>
        <w:rPr>
          <w:rFonts w:ascii="Arial" w:hAnsi="Arial" w:cs="Arial"/>
          <w:b/>
          <w:sz w:val="22"/>
          <w:szCs w:val="22"/>
        </w:rPr>
        <w:t xml:space="preserve"> </w:t>
      </w:r>
      <w:r w:rsidR="00A700AF">
        <w:rPr>
          <w:rFonts w:ascii="Arial" w:hAnsi="Arial" w:cs="Arial"/>
          <w:b/>
          <w:sz w:val="22"/>
          <w:szCs w:val="22"/>
        </w:rPr>
        <w:t>DE</w:t>
      </w:r>
      <w:r>
        <w:rPr>
          <w:rFonts w:ascii="Arial" w:hAnsi="Arial" w:cs="Arial"/>
          <w:b/>
          <w:sz w:val="22"/>
          <w:szCs w:val="22"/>
        </w:rPr>
        <w:t xml:space="preserve"> </w:t>
      </w:r>
      <w:r w:rsidR="00A700AF" w:rsidRPr="004E2E04">
        <w:rPr>
          <w:rFonts w:ascii="Arial" w:hAnsi="Arial" w:cs="Arial"/>
          <w:b/>
          <w:sz w:val="22"/>
          <w:szCs w:val="22"/>
        </w:rPr>
        <w:t>SAUVEGARDE</w:t>
      </w:r>
      <w:r>
        <w:rPr>
          <w:rFonts w:ascii="Arial" w:hAnsi="Arial" w:cs="Arial"/>
          <w:b/>
          <w:sz w:val="22"/>
          <w:szCs w:val="22"/>
        </w:rPr>
        <w:br/>
        <w:t>DU</w:t>
      </w:r>
      <w:r w:rsidR="00FD11E5">
        <w:rPr>
          <w:rFonts w:ascii="Arial" w:hAnsi="Arial" w:cs="Arial"/>
          <w:b/>
          <w:sz w:val="22"/>
          <w:szCs w:val="22"/>
        </w:rPr>
        <w:t xml:space="preserve"> PATRIMOINE CULTUREL IMMATÉRIEL</w:t>
      </w:r>
      <w:bookmarkStart w:id="0" w:name="_GoBack"/>
      <w:bookmarkEnd w:id="0"/>
    </w:p>
    <w:p w14:paraId="14B43F03" w14:textId="2B2118EB" w:rsidR="00EC6F8D" w:rsidRPr="004E2E04" w:rsidRDefault="004E2E04" w:rsidP="00EC6F8D">
      <w:pPr>
        <w:spacing w:before="840"/>
        <w:jc w:val="center"/>
        <w:rPr>
          <w:rFonts w:ascii="Arial" w:hAnsi="Arial" w:cs="Arial"/>
          <w:b/>
          <w:sz w:val="22"/>
          <w:szCs w:val="22"/>
        </w:rPr>
      </w:pPr>
      <w:r>
        <w:rPr>
          <w:rFonts w:ascii="Arial" w:eastAsiaTheme="minorEastAsia" w:hAnsi="Arial" w:cs="Arial"/>
          <w:b/>
          <w:sz w:val="22"/>
          <w:szCs w:val="22"/>
          <w:lang w:eastAsia="ko-KR"/>
        </w:rPr>
        <w:t>Treizième</w:t>
      </w:r>
      <w:r w:rsidR="00EC6F8D" w:rsidRPr="004E2E04">
        <w:rPr>
          <w:rFonts w:ascii="Arial" w:hAnsi="Arial" w:cs="Arial"/>
          <w:b/>
          <w:sz w:val="22"/>
          <w:szCs w:val="22"/>
        </w:rPr>
        <w:t xml:space="preserve"> session</w:t>
      </w:r>
    </w:p>
    <w:p w14:paraId="61E2231D" w14:textId="24426959" w:rsidR="009D5428" w:rsidRPr="004E2E04" w:rsidRDefault="00817794" w:rsidP="00FD11E5">
      <w:pPr>
        <w:jc w:val="center"/>
        <w:rPr>
          <w:rFonts w:ascii="Arial" w:eastAsiaTheme="minorEastAsia" w:hAnsi="Arial" w:cs="Arial"/>
          <w:b/>
          <w:sz w:val="22"/>
          <w:szCs w:val="22"/>
          <w:lang w:eastAsia="ko-KR"/>
        </w:rPr>
      </w:pPr>
      <w:r w:rsidRPr="004E2E04">
        <w:rPr>
          <w:rFonts w:ascii="Arial" w:eastAsiaTheme="minorEastAsia" w:hAnsi="Arial" w:cs="Arial"/>
          <w:b/>
          <w:sz w:val="22"/>
          <w:szCs w:val="22"/>
          <w:lang w:eastAsia="ko-KR"/>
        </w:rPr>
        <w:t>Port</w:t>
      </w:r>
      <w:r w:rsidR="00FD11E5">
        <w:rPr>
          <w:rFonts w:ascii="Arial" w:eastAsiaTheme="minorEastAsia" w:hAnsi="Arial" w:cs="Arial"/>
          <w:b/>
          <w:sz w:val="22"/>
          <w:szCs w:val="22"/>
          <w:lang w:eastAsia="ko-KR"/>
        </w:rPr>
        <w:t>-</w:t>
      </w:r>
      <w:r w:rsidRPr="004E2E04">
        <w:rPr>
          <w:rFonts w:ascii="Arial" w:eastAsiaTheme="minorEastAsia" w:hAnsi="Arial" w:cs="Arial"/>
          <w:b/>
          <w:sz w:val="22"/>
          <w:szCs w:val="22"/>
          <w:lang w:eastAsia="ko-KR"/>
        </w:rPr>
        <w:t>Louis</w:t>
      </w:r>
      <w:r w:rsidR="00CB0542" w:rsidRPr="004E2E04">
        <w:rPr>
          <w:rFonts w:ascii="Arial" w:hAnsi="Arial" w:cs="Arial"/>
          <w:b/>
          <w:sz w:val="22"/>
          <w:szCs w:val="22"/>
        </w:rPr>
        <w:t xml:space="preserve">, </w:t>
      </w:r>
      <w:r w:rsidR="004E2E04" w:rsidRPr="004E2E04">
        <w:rPr>
          <w:rFonts w:ascii="Arial" w:eastAsiaTheme="minorEastAsia" w:hAnsi="Arial" w:cs="Arial"/>
          <w:b/>
          <w:sz w:val="22"/>
          <w:szCs w:val="22"/>
          <w:lang w:eastAsia="ko-KR"/>
        </w:rPr>
        <w:t>République</w:t>
      </w:r>
      <w:r w:rsidR="004E2E04">
        <w:rPr>
          <w:rFonts w:ascii="Arial" w:eastAsiaTheme="minorEastAsia" w:hAnsi="Arial" w:cs="Arial"/>
          <w:b/>
          <w:sz w:val="22"/>
          <w:szCs w:val="22"/>
          <w:lang w:eastAsia="ko-KR"/>
        </w:rPr>
        <w:t xml:space="preserve"> de Maurice</w:t>
      </w:r>
    </w:p>
    <w:p w14:paraId="3B6A0540" w14:textId="0397D23A" w:rsidR="00EC6F8D" w:rsidRPr="004E2E04" w:rsidRDefault="004E2E04" w:rsidP="00817794">
      <w:pPr>
        <w:jc w:val="center"/>
        <w:rPr>
          <w:rFonts w:ascii="Arial" w:eastAsiaTheme="minorEastAsia" w:hAnsi="Arial" w:cs="Arial"/>
          <w:b/>
          <w:sz w:val="22"/>
          <w:szCs w:val="22"/>
          <w:lang w:eastAsia="ko-KR"/>
        </w:rPr>
      </w:pPr>
      <w:r>
        <w:rPr>
          <w:rFonts w:ascii="Arial" w:hAnsi="Arial" w:cs="Arial"/>
          <w:b/>
          <w:sz w:val="22"/>
          <w:szCs w:val="22"/>
        </w:rPr>
        <w:t>26 novembre –</w:t>
      </w:r>
      <w:r w:rsidR="00EC6F8D" w:rsidRPr="004E2E04">
        <w:rPr>
          <w:rFonts w:ascii="Arial" w:hAnsi="Arial" w:cs="Arial"/>
          <w:b/>
          <w:sz w:val="22"/>
          <w:szCs w:val="22"/>
        </w:rPr>
        <w:t xml:space="preserve"> </w:t>
      </w:r>
      <w:r w:rsidR="00817794" w:rsidRPr="004E2E04">
        <w:rPr>
          <w:rFonts w:ascii="Arial" w:hAnsi="Arial" w:cs="Arial"/>
          <w:b/>
          <w:sz w:val="22"/>
          <w:szCs w:val="22"/>
        </w:rPr>
        <w:t>1</w:t>
      </w:r>
      <w:r w:rsidRPr="004E2E04">
        <w:rPr>
          <w:rFonts w:ascii="Arial" w:hAnsi="Arial" w:cs="Arial"/>
          <w:b/>
          <w:sz w:val="22"/>
          <w:szCs w:val="22"/>
          <w:vertAlign w:val="superscript"/>
        </w:rPr>
        <w:t>er</w:t>
      </w:r>
      <w:r>
        <w:rPr>
          <w:rFonts w:ascii="Arial" w:hAnsi="Arial" w:cs="Arial"/>
          <w:b/>
          <w:sz w:val="22"/>
          <w:szCs w:val="22"/>
        </w:rPr>
        <w:t xml:space="preserve"> décemb</w:t>
      </w:r>
      <w:r w:rsidR="00337CEB" w:rsidRPr="004E2E04">
        <w:rPr>
          <w:rFonts w:ascii="Arial" w:hAnsi="Arial" w:cs="Arial"/>
          <w:b/>
          <w:sz w:val="22"/>
          <w:szCs w:val="22"/>
        </w:rPr>
        <w:t>r</w:t>
      </w:r>
      <w:r>
        <w:rPr>
          <w:rFonts w:ascii="Arial" w:hAnsi="Arial" w:cs="Arial"/>
          <w:b/>
          <w:sz w:val="22"/>
          <w:szCs w:val="22"/>
        </w:rPr>
        <w:t>e</w:t>
      </w:r>
      <w:r w:rsidR="00337CEB" w:rsidRPr="004E2E04">
        <w:rPr>
          <w:rFonts w:ascii="Arial" w:hAnsi="Arial" w:cs="Arial"/>
          <w:b/>
          <w:sz w:val="22"/>
          <w:szCs w:val="22"/>
        </w:rPr>
        <w:t xml:space="preserve"> 201</w:t>
      </w:r>
      <w:r w:rsidR="00817794" w:rsidRPr="004E2E04">
        <w:rPr>
          <w:rFonts w:ascii="Arial" w:eastAsiaTheme="minorEastAsia" w:hAnsi="Arial" w:cs="Arial"/>
          <w:b/>
          <w:sz w:val="22"/>
          <w:szCs w:val="22"/>
          <w:lang w:eastAsia="ko-KR"/>
        </w:rPr>
        <w:t>8</w:t>
      </w:r>
    </w:p>
    <w:p w14:paraId="6D58296F" w14:textId="08425C27" w:rsidR="00EC6F8D" w:rsidRPr="004E2E04" w:rsidRDefault="004E2E04" w:rsidP="00EC6F8D">
      <w:pPr>
        <w:pStyle w:val="Sansinterligne2"/>
        <w:spacing w:before="1200"/>
        <w:jc w:val="center"/>
        <w:rPr>
          <w:rFonts w:ascii="Arial" w:hAnsi="Arial" w:cs="Arial"/>
          <w:b/>
          <w:sz w:val="22"/>
          <w:szCs w:val="22"/>
        </w:rPr>
      </w:pPr>
      <w:r>
        <w:rPr>
          <w:rFonts w:ascii="Arial" w:hAnsi="Arial" w:cs="Arial"/>
          <w:b/>
          <w:sz w:val="22"/>
          <w:szCs w:val="22"/>
          <w:u w:val="single"/>
        </w:rPr>
        <w:t>Point 16 de l</w:t>
      </w:r>
      <w:r w:rsidR="00DD43FF">
        <w:rPr>
          <w:rFonts w:ascii="Arial" w:hAnsi="Arial" w:cs="Arial"/>
          <w:b/>
          <w:sz w:val="22"/>
          <w:szCs w:val="22"/>
          <w:u w:val="single"/>
        </w:rPr>
        <w:t>’</w:t>
      </w:r>
      <w:r w:rsidRPr="004E2E04">
        <w:rPr>
          <w:rFonts w:ascii="Arial" w:hAnsi="Arial" w:cs="Arial"/>
          <w:b/>
          <w:sz w:val="22"/>
          <w:szCs w:val="22"/>
          <w:u w:val="single"/>
        </w:rPr>
        <w:t>ordre du jour</w:t>
      </w:r>
      <w:r>
        <w:rPr>
          <w:rFonts w:ascii="Arial" w:hAnsi="Arial" w:cs="Arial"/>
          <w:b/>
          <w:sz w:val="22"/>
          <w:szCs w:val="22"/>
          <w:u w:val="single"/>
        </w:rPr>
        <w:t xml:space="preserve"> provisoire</w:t>
      </w:r>
      <w:r w:rsidRPr="00A700AF">
        <w:rPr>
          <w:rFonts w:ascii="Arial" w:hAnsi="Arial" w:cs="Arial"/>
          <w:b/>
          <w:sz w:val="22"/>
          <w:szCs w:val="22"/>
        </w:rPr>
        <w:t> :</w:t>
      </w:r>
    </w:p>
    <w:p w14:paraId="6A3A8893" w14:textId="0A040293" w:rsidR="00EC6F8D" w:rsidRPr="004E2E04" w:rsidRDefault="004E2E04" w:rsidP="003C2124">
      <w:pPr>
        <w:pStyle w:val="Sansinterligne2"/>
        <w:spacing w:after="1080"/>
        <w:jc w:val="center"/>
        <w:rPr>
          <w:rFonts w:ascii="Arial" w:hAnsi="Arial" w:cs="Arial"/>
          <w:b/>
          <w:sz w:val="22"/>
          <w:szCs w:val="22"/>
        </w:rPr>
      </w:pPr>
      <w:r>
        <w:rPr>
          <w:rFonts w:ascii="Arial" w:hAnsi="Arial" w:cs="Arial"/>
          <w:b/>
          <w:sz w:val="22"/>
          <w:szCs w:val="22"/>
        </w:rPr>
        <w:t xml:space="preserve">Rapport du </w:t>
      </w:r>
      <w:r w:rsidRPr="00FD11E5">
        <w:rPr>
          <w:rFonts w:ascii="Arial" w:hAnsi="Arial" w:cs="Arial"/>
          <w:b/>
          <w:sz w:val="22"/>
          <w:szCs w:val="22"/>
        </w:rPr>
        <w:t>groupe</w:t>
      </w:r>
      <w:r w:rsidRPr="004E2E04">
        <w:rPr>
          <w:rFonts w:ascii="Arial" w:hAnsi="Arial" w:cs="Arial"/>
          <w:b/>
          <w:sz w:val="22"/>
          <w:szCs w:val="22"/>
        </w:rPr>
        <w:t xml:space="preserve"> de travail</w:t>
      </w:r>
      <w:r w:rsidR="00132398">
        <w:rPr>
          <w:rFonts w:ascii="Arial" w:hAnsi="Arial" w:cs="Arial"/>
          <w:b/>
          <w:sz w:val="22"/>
          <w:szCs w:val="22"/>
        </w:rPr>
        <w:t xml:space="preserve"> informel </w:t>
      </w:r>
      <w:r w:rsidR="003C2124">
        <w:rPr>
          <w:rFonts w:ascii="Arial" w:hAnsi="Arial" w:cs="Arial"/>
          <w:b/>
          <w:sz w:val="22"/>
          <w:szCs w:val="22"/>
        </w:rPr>
        <w:t xml:space="preserve">ad hoc </w:t>
      </w:r>
      <w:r w:rsidR="00A700AF">
        <w:rPr>
          <w:rFonts w:ascii="Arial" w:hAnsi="Arial" w:cs="Arial"/>
          <w:b/>
          <w:sz w:val="22"/>
          <w:szCs w:val="22"/>
        </w:rPr>
        <w:t>à composition non limitée</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4E2E04" w14:paraId="231C5C49" w14:textId="77777777" w:rsidTr="00EC6F8D">
        <w:trPr>
          <w:jc w:val="center"/>
        </w:trPr>
        <w:tc>
          <w:tcPr>
            <w:tcW w:w="5670" w:type="dxa"/>
            <w:vAlign w:val="center"/>
          </w:tcPr>
          <w:p w14:paraId="629655FA" w14:textId="26B41125" w:rsidR="00EC6F8D" w:rsidRPr="004E2E04" w:rsidRDefault="00132398" w:rsidP="00CA56BB">
            <w:pPr>
              <w:pStyle w:val="Sansinterligne1"/>
              <w:spacing w:before="200" w:after="200"/>
              <w:jc w:val="center"/>
              <w:rPr>
                <w:rFonts w:ascii="Arial" w:hAnsi="Arial" w:cs="Arial"/>
                <w:b/>
                <w:sz w:val="22"/>
                <w:szCs w:val="22"/>
              </w:rPr>
            </w:pPr>
            <w:r>
              <w:rPr>
                <w:rFonts w:ascii="Arial" w:hAnsi="Arial" w:cs="Arial"/>
                <w:b/>
                <w:sz w:val="22"/>
                <w:szCs w:val="22"/>
              </w:rPr>
              <w:t>Résumé</w:t>
            </w:r>
          </w:p>
          <w:p w14:paraId="65028684" w14:textId="22D03687" w:rsidR="00132398" w:rsidRDefault="00132398" w:rsidP="0062099D">
            <w:pPr>
              <w:pStyle w:val="Sansinterligne1"/>
              <w:jc w:val="both"/>
              <w:rPr>
                <w:rFonts w:ascii="Arial" w:hAnsi="Arial" w:cs="Arial"/>
                <w:sz w:val="22"/>
                <w:szCs w:val="22"/>
              </w:rPr>
            </w:pPr>
            <w:r>
              <w:rPr>
                <w:rFonts w:ascii="Arial" w:hAnsi="Arial" w:cs="Arial"/>
                <w:sz w:val="22"/>
                <w:szCs w:val="22"/>
              </w:rPr>
              <w:t xml:space="preserve">À sa douzième session, le Comité a décidé de maintenir le </w:t>
            </w:r>
            <w:r w:rsidRPr="00132398">
              <w:rPr>
                <w:rFonts w:ascii="Arial" w:hAnsi="Arial" w:cs="Arial"/>
                <w:sz w:val="22"/>
                <w:szCs w:val="22"/>
              </w:rPr>
              <w:t>groupe de travail</w:t>
            </w:r>
            <w:r>
              <w:rPr>
                <w:rFonts w:ascii="Arial" w:hAnsi="Arial" w:cs="Arial"/>
                <w:sz w:val="22"/>
                <w:szCs w:val="22"/>
              </w:rPr>
              <w:t xml:space="preserve"> informel ad hoc en </w:t>
            </w:r>
            <w:r w:rsidR="008D6B75">
              <w:rPr>
                <w:rFonts w:ascii="Arial" w:hAnsi="Arial" w:cs="Arial"/>
                <w:sz w:val="22"/>
                <w:szCs w:val="22"/>
              </w:rPr>
              <w:t>2018, et d</w:t>
            </w:r>
            <w:r w:rsidR="00DD43FF">
              <w:rPr>
                <w:rFonts w:ascii="Arial" w:hAnsi="Arial" w:cs="Arial"/>
                <w:sz w:val="22"/>
                <w:szCs w:val="22"/>
              </w:rPr>
              <w:t>’</w:t>
            </w:r>
            <w:r w:rsidR="008D6B75">
              <w:rPr>
                <w:rFonts w:ascii="Arial" w:hAnsi="Arial" w:cs="Arial"/>
                <w:sz w:val="22"/>
                <w:szCs w:val="22"/>
              </w:rPr>
              <w:t>en faire un groupe à composition</w:t>
            </w:r>
            <w:r w:rsidR="00137028">
              <w:rPr>
                <w:rFonts w:ascii="Arial" w:hAnsi="Arial" w:cs="Arial"/>
                <w:sz w:val="22"/>
                <w:szCs w:val="22"/>
              </w:rPr>
              <w:t xml:space="preserve"> non limitée afin d</w:t>
            </w:r>
            <w:r w:rsidR="00DD43FF">
              <w:rPr>
                <w:rFonts w:ascii="Arial" w:hAnsi="Arial" w:cs="Arial"/>
                <w:sz w:val="22"/>
                <w:szCs w:val="22"/>
              </w:rPr>
              <w:t>’</w:t>
            </w:r>
            <w:r w:rsidR="00137028">
              <w:rPr>
                <w:rFonts w:ascii="Arial" w:hAnsi="Arial" w:cs="Arial"/>
                <w:sz w:val="22"/>
                <w:szCs w:val="22"/>
              </w:rPr>
              <w:t>intégrer</w:t>
            </w:r>
            <w:r>
              <w:rPr>
                <w:rFonts w:ascii="Arial" w:hAnsi="Arial" w:cs="Arial"/>
                <w:sz w:val="22"/>
                <w:szCs w:val="22"/>
              </w:rPr>
              <w:t xml:space="preserve"> tous les États part</w:t>
            </w:r>
            <w:r w:rsidR="00D3288A">
              <w:rPr>
                <w:rFonts w:ascii="Arial" w:hAnsi="Arial" w:cs="Arial"/>
                <w:sz w:val="22"/>
                <w:szCs w:val="22"/>
              </w:rPr>
              <w:t>ies intéressés (</w:t>
            </w:r>
            <w:hyperlink r:id="rId8" w:history="1">
              <w:r w:rsidR="00D02860">
                <w:rPr>
                  <w:rStyle w:val="Hyperlink"/>
                  <w:rFonts w:ascii="Arial" w:hAnsi="Arial" w:cs="Arial"/>
                  <w:sz w:val="22"/>
                  <w:szCs w:val="22"/>
                </w:rPr>
                <w:t>décision 12.COM </w:t>
              </w:r>
              <w:r w:rsidRPr="0097067E">
                <w:rPr>
                  <w:rStyle w:val="Hyperlink"/>
                  <w:rFonts w:ascii="Arial" w:hAnsi="Arial" w:cs="Arial"/>
                  <w:sz w:val="22"/>
                  <w:szCs w:val="22"/>
                </w:rPr>
                <w:t>13</w:t>
              </w:r>
            </w:hyperlink>
            <w:r>
              <w:rPr>
                <w:rFonts w:ascii="Arial" w:hAnsi="Arial" w:cs="Arial"/>
                <w:sz w:val="22"/>
                <w:szCs w:val="22"/>
              </w:rPr>
              <w:t>). Le mandat du groupe</w:t>
            </w:r>
            <w:r w:rsidR="008D3DC6">
              <w:rPr>
                <w:rFonts w:ascii="Arial" w:hAnsi="Arial" w:cs="Arial"/>
                <w:sz w:val="22"/>
                <w:szCs w:val="22"/>
              </w:rPr>
              <w:t xml:space="preserve"> a trait</w:t>
            </w:r>
            <w:r w:rsidR="00A700AF">
              <w:rPr>
                <w:rFonts w:ascii="Arial" w:hAnsi="Arial" w:cs="Arial"/>
                <w:sz w:val="22"/>
                <w:szCs w:val="22"/>
              </w:rPr>
              <w:t> </w:t>
            </w:r>
            <w:r w:rsidR="008D3DC6">
              <w:rPr>
                <w:rFonts w:ascii="Arial" w:hAnsi="Arial" w:cs="Arial"/>
                <w:sz w:val="22"/>
                <w:szCs w:val="22"/>
              </w:rPr>
              <w:t xml:space="preserve">: </w:t>
            </w:r>
            <w:r w:rsidR="00A700AF">
              <w:rPr>
                <w:rFonts w:ascii="Arial" w:hAnsi="Arial" w:cs="Arial"/>
                <w:sz w:val="22"/>
                <w:szCs w:val="22"/>
              </w:rPr>
              <w:t>i</w:t>
            </w:r>
            <w:r w:rsidR="008D3DC6">
              <w:rPr>
                <w:rFonts w:ascii="Arial" w:hAnsi="Arial" w:cs="Arial"/>
                <w:sz w:val="22"/>
                <w:szCs w:val="22"/>
              </w:rPr>
              <w:t>) au</w:t>
            </w:r>
            <w:r>
              <w:rPr>
                <w:rFonts w:ascii="Arial" w:hAnsi="Arial" w:cs="Arial"/>
                <w:sz w:val="22"/>
                <w:szCs w:val="22"/>
              </w:rPr>
              <w:t xml:space="preserve"> mécanisme de </w:t>
            </w:r>
            <w:r w:rsidRPr="00132398">
              <w:rPr>
                <w:rFonts w:ascii="Arial" w:hAnsi="Arial" w:cs="Arial"/>
                <w:sz w:val="22"/>
                <w:szCs w:val="22"/>
              </w:rPr>
              <w:t>financement</w:t>
            </w:r>
            <w:r>
              <w:rPr>
                <w:rFonts w:ascii="Arial" w:hAnsi="Arial" w:cs="Arial"/>
                <w:sz w:val="22"/>
                <w:szCs w:val="22"/>
              </w:rPr>
              <w:t xml:space="preserve"> de la </w:t>
            </w:r>
            <w:r w:rsidRPr="00132398">
              <w:rPr>
                <w:rFonts w:ascii="Arial" w:hAnsi="Arial" w:cs="Arial"/>
                <w:sz w:val="22"/>
                <w:szCs w:val="22"/>
              </w:rPr>
              <w:t>Convention</w:t>
            </w:r>
            <w:r w:rsidR="008D3DC6">
              <w:rPr>
                <w:rFonts w:ascii="Arial" w:hAnsi="Arial" w:cs="Arial"/>
                <w:sz w:val="22"/>
                <w:szCs w:val="22"/>
              </w:rPr>
              <w:t xml:space="preserve"> ; </w:t>
            </w:r>
            <w:r w:rsidR="00A700AF">
              <w:rPr>
                <w:rFonts w:ascii="Arial" w:hAnsi="Arial" w:cs="Arial"/>
                <w:sz w:val="22"/>
                <w:szCs w:val="22"/>
              </w:rPr>
              <w:t>ii</w:t>
            </w:r>
            <w:r w:rsidR="008D3DC6">
              <w:rPr>
                <w:rFonts w:ascii="Arial" w:hAnsi="Arial" w:cs="Arial"/>
                <w:sz w:val="22"/>
                <w:szCs w:val="22"/>
              </w:rPr>
              <w:t xml:space="preserve">) aux recommandations du </w:t>
            </w:r>
            <w:r w:rsidR="008D3DC6" w:rsidRPr="008D3DC6">
              <w:rPr>
                <w:rFonts w:ascii="Arial" w:hAnsi="Arial" w:cs="Arial"/>
                <w:sz w:val="22"/>
                <w:szCs w:val="22"/>
              </w:rPr>
              <w:t>groupe de travail</w:t>
            </w:r>
            <w:r w:rsidR="008D3DC6">
              <w:rPr>
                <w:rFonts w:ascii="Arial" w:hAnsi="Arial" w:cs="Arial"/>
                <w:sz w:val="22"/>
                <w:szCs w:val="22"/>
              </w:rPr>
              <w:t xml:space="preserve"> à composition non limitée sur la gouvernance ; </w:t>
            </w:r>
            <w:r w:rsidR="00A700AF">
              <w:rPr>
                <w:rFonts w:ascii="Arial" w:hAnsi="Arial" w:cs="Arial"/>
                <w:sz w:val="22"/>
                <w:szCs w:val="22"/>
              </w:rPr>
              <w:t>iii</w:t>
            </w:r>
            <w:r w:rsidR="008D3DC6">
              <w:rPr>
                <w:rFonts w:ascii="Arial" w:hAnsi="Arial" w:cs="Arial"/>
                <w:sz w:val="22"/>
                <w:szCs w:val="22"/>
              </w:rPr>
              <w:t xml:space="preserve">) </w:t>
            </w:r>
            <w:r w:rsidR="00A700AF">
              <w:rPr>
                <w:rFonts w:ascii="Arial" w:hAnsi="Arial" w:cs="Arial"/>
                <w:sz w:val="22"/>
                <w:szCs w:val="22"/>
              </w:rPr>
              <w:t>au mécanisme de « dialogue » ; iv</w:t>
            </w:r>
            <w:r w:rsidR="008D3DC6">
              <w:rPr>
                <w:rFonts w:ascii="Arial" w:hAnsi="Arial" w:cs="Arial"/>
                <w:sz w:val="22"/>
                <w:szCs w:val="22"/>
              </w:rPr>
              <w:t>)</w:t>
            </w:r>
            <w:r w:rsidR="0062099D">
              <w:rPr>
                <w:rFonts w:ascii="Arial" w:hAnsi="Arial" w:cs="Arial"/>
                <w:sz w:val="22"/>
                <w:szCs w:val="22"/>
              </w:rPr>
              <w:t> </w:t>
            </w:r>
            <w:r w:rsidR="008D3DC6">
              <w:rPr>
                <w:rFonts w:ascii="Arial" w:hAnsi="Arial" w:cs="Arial"/>
                <w:sz w:val="22"/>
                <w:szCs w:val="22"/>
              </w:rPr>
              <w:t>aux rôles des ONG et à leur processus d</w:t>
            </w:r>
            <w:r w:rsidR="00DD43FF">
              <w:rPr>
                <w:rFonts w:ascii="Arial" w:hAnsi="Arial" w:cs="Arial"/>
                <w:sz w:val="22"/>
                <w:szCs w:val="22"/>
              </w:rPr>
              <w:t>’</w:t>
            </w:r>
            <w:r w:rsidR="008D3DC6" w:rsidRPr="008D3DC6">
              <w:rPr>
                <w:rFonts w:ascii="Arial" w:hAnsi="Arial" w:cs="Arial"/>
                <w:sz w:val="22"/>
                <w:szCs w:val="22"/>
              </w:rPr>
              <w:t>accréditation</w:t>
            </w:r>
            <w:r w:rsidR="008D3DC6">
              <w:rPr>
                <w:rFonts w:ascii="Arial" w:hAnsi="Arial" w:cs="Arial"/>
                <w:sz w:val="22"/>
                <w:szCs w:val="22"/>
              </w:rPr>
              <w:t xml:space="preserve"> ; et </w:t>
            </w:r>
            <w:r w:rsidR="00A700AF">
              <w:rPr>
                <w:rFonts w:ascii="Arial" w:hAnsi="Arial" w:cs="Arial"/>
                <w:sz w:val="22"/>
                <w:szCs w:val="22"/>
              </w:rPr>
              <w:t>v</w:t>
            </w:r>
            <w:r w:rsidR="008D3DC6">
              <w:rPr>
                <w:rFonts w:ascii="Arial" w:hAnsi="Arial" w:cs="Arial"/>
                <w:sz w:val="22"/>
                <w:szCs w:val="22"/>
              </w:rPr>
              <w:t>) à d</w:t>
            </w:r>
            <w:r w:rsidR="00DD43FF">
              <w:rPr>
                <w:rFonts w:ascii="Arial" w:hAnsi="Arial" w:cs="Arial"/>
                <w:sz w:val="22"/>
                <w:szCs w:val="22"/>
              </w:rPr>
              <w:t>’</w:t>
            </w:r>
            <w:r w:rsidR="008D3DC6">
              <w:rPr>
                <w:rFonts w:ascii="Arial" w:hAnsi="Arial" w:cs="Arial"/>
                <w:sz w:val="22"/>
                <w:szCs w:val="22"/>
              </w:rPr>
              <w:t>autres questions permettant de faciliter le travail du Comité. L</w:t>
            </w:r>
            <w:r w:rsidR="00DD43FF">
              <w:rPr>
                <w:rFonts w:ascii="Arial" w:hAnsi="Arial" w:cs="Arial"/>
                <w:sz w:val="22"/>
                <w:szCs w:val="22"/>
              </w:rPr>
              <w:t>’</w:t>
            </w:r>
            <w:r w:rsidR="008D3DC6">
              <w:rPr>
                <w:rFonts w:ascii="Arial" w:hAnsi="Arial" w:cs="Arial"/>
                <w:sz w:val="22"/>
                <w:szCs w:val="22"/>
              </w:rPr>
              <w:t xml:space="preserve">annexe à ce document, préparée par le </w:t>
            </w:r>
            <w:r w:rsidR="008D3DC6" w:rsidRPr="008D3DC6">
              <w:rPr>
                <w:rFonts w:ascii="Arial" w:hAnsi="Arial" w:cs="Arial"/>
                <w:sz w:val="22"/>
                <w:szCs w:val="22"/>
              </w:rPr>
              <w:t>groupe de travail</w:t>
            </w:r>
            <w:r w:rsidR="008D3DC6">
              <w:rPr>
                <w:rFonts w:ascii="Arial" w:hAnsi="Arial" w:cs="Arial"/>
                <w:sz w:val="22"/>
                <w:szCs w:val="22"/>
              </w:rPr>
              <w:t>, présente ses dé</w:t>
            </w:r>
            <w:r w:rsidR="00A700AF">
              <w:rPr>
                <w:rFonts w:ascii="Arial" w:hAnsi="Arial" w:cs="Arial"/>
                <w:sz w:val="22"/>
                <w:szCs w:val="22"/>
              </w:rPr>
              <w:t>libérations et recommandations.</w:t>
            </w:r>
          </w:p>
          <w:p w14:paraId="47EB25F7" w14:textId="1A887AD4" w:rsidR="00EC6F8D" w:rsidRPr="004E2E04" w:rsidRDefault="00A700AF">
            <w:pPr>
              <w:pStyle w:val="Sansinterligne2"/>
              <w:spacing w:before="200" w:after="200"/>
              <w:jc w:val="both"/>
              <w:rPr>
                <w:rFonts w:ascii="Arial" w:hAnsi="Arial" w:cs="Arial"/>
                <w:b/>
                <w:sz w:val="22"/>
                <w:szCs w:val="22"/>
              </w:rPr>
            </w:pPr>
            <w:r>
              <w:rPr>
                <w:rFonts w:ascii="Arial" w:hAnsi="Arial" w:cs="Arial"/>
                <w:b/>
                <w:sz w:val="22"/>
                <w:szCs w:val="22"/>
              </w:rPr>
              <w:t>Décision requise </w:t>
            </w:r>
            <w:r w:rsidR="00EC6F8D" w:rsidRPr="004E2E04">
              <w:rPr>
                <w:rFonts w:ascii="Arial" w:hAnsi="Arial" w:cs="Arial"/>
                <w:b/>
                <w:sz w:val="22"/>
                <w:szCs w:val="22"/>
              </w:rPr>
              <w:t>:</w:t>
            </w:r>
            <w:r w:rsidR="00EC6F8D" w:rsidRPr="004E2E04">
              <w:rPr>
                <w:rFonts w:ascii="Arial" w:hAnsi="Arial" w:cs="Arial"/>
                <w:sz w:val="22"/>
                <w:szCs w:val="22"/>
              </w:rPr>
              <w:t xml:space="preserve"> </w:t>
            </w:r>
            <w:r w:rsidR="00132398">
              <w:rPr>
                <w:rFonts w:ascii="Arial" w:hAnsi="Arial" w:cs="Arial"/>
                <w:sz w:val="22"/>
                <w:szCs w:val="22"/>
              </w:rPr>
              <w:t>p</w:t>
            </w:r>
            <w:r w:rsidR="009C2443" w:rsidRPr="004E2E04">
              <w:rPr>
                <w:rFonts w:ascii="Arial" w:hAnsi="Arial" w:cs="Arial"/>
                <w:sz w:val="22"/>
                <w:szCs w:val="22"/>
              </w:rPr>
              <w:t>aragraph</w:t>
            </w:r>
            <w:r w:rsidR="00132398">
              <w:rPr>
                <w:rFonts w:ascii="Arial" w:hAnsi="Arial" w:cs="Arial"/>
                <w:sz w:val="22"/>
                <w:szCs w:val="22"/>
              </w:rPr>
              <w:t>e</w:t>
            </w:r>
            <w:r w:rsidR="009C2443" w:rsidRPr="004E2E04">
              <w:rPr>
                <w:rFonts w:ascii="Arial" w:hAnsi="Arial" w:cs="Arial"/>
                <w:sz w:val="22"/>
                <w:szCs w:val="22"/>
              </w:rPr>
              <w:t xml:space="preserve"> </w:t>
            </w:r>
            <w:r w:rsidR="00113DAA" w:rsidRPr="004E2E04">
              <w:rPr>
                <w:rFonts w:ascii="Arial" w:hAnsi="Arial" w:cs="Arial"/>
                <w:sz w:val="22"/>
                <w:szCs w:val="22"/>
              </w:rPr>
              <w:t>6</w:t>
            </w:r>
          </w:p>
        </w:tc>
      </w:tr>
    </w:tbl>
    <w:p w14:paraId="0FB344EA" w14:textId="28C89F8D" w:rsidR="008D3DC6" w:rsidRPr="008D3DC6" w:rsidRDefault="00655736" w:rsidP="00751835">
      <w:pPr>
        <w:pStyle w:val="COMPara"/>
        <w:jc w:val="both"/>
        <w:rPr>
          <w:lang w:val="fr-FR"/>
        </w:rPr>
      </w:pPr>
      <w:r w:rsidRPr="004E2E04">
        <w:rPr>
          <w:lang w:val="fr-FR"/>
        </w:rPr>
        <w:br w:type="page"/>
      </w:r>
      <w:r w:rsidR="008D3DC6" w:rsidRPr="008D3DC6">
        <w:rPr>
          <w:lang w:val="fr-FR"/>
        </w:rPr>
        <w:lastRenderedPageBreak/>
        <w:t xml:space="preserve">À sa onzième session, </w:t>
      </w:r>
      <w:r w:rsidR="008D3DC6">
        <w:rPr>
          <w:lang w:val="fr-FR"/>
        </w:rPr>
        <w:t xml:space="preserve">le Comité </w:t>
      </w:r>
      <w:r w:rsidR="008D3DC6" w:rsidRPr="008D3DC6">
        <w:rPr>
          <w:lang w:val="fr-FR"/>
        </w:rPr>
        <w:t>intergouvernemental</w:t>
      </w:r>
      <w:r w:rsidR="008D3DC6">
        <w:rPr>
          <w:lang w:val="fr-FR"/>
        </w:rPr>
        <w:t xml:space="preserve"> </w:t>
      </w:r>
      <w:r w:rsidR="00751835">
        <w:rPr>
          <w:lang w:val="fr-FR"/>
        </w:rPr>
        <w:t xml:space="preserve">de </w:t>
      </w:r>
      <w:r w:rsidR="008D3DC6" w:rsidRPr="008D3DC6">
        <w:rPr>
          <w:lang w:val="fr-FR"/>
        </w:rPr>
        <w:t>sauvegarde</w:t>
      </w:r>
      <w:r w:rsidR="008D3DC6">
        <w:rPr>
          <w:lang w:val="fr-FR"/>
        </w:rPr>
        <w:t xml:space="preserve"> du patrimoine culturel immatériel (</w:t>
      </w:r>
      <w:r w:rsidR="00751835">
        <w:rPr>
          <w:lang w:val="fr-FR"/>
        </w:rPr>
        <w:t xml:space="preserve">ci-après dénommé </w:t>
      </w:r>
      <w:r w:rsidR="008D3DC6">
        <w:rPr>
          <w:lang w:val="fr-FR"/>
        </w:rPr>
        <w:t>le « Comité ») a décidé « d</w:t>
      </w:r>
      <w:r w:rsidR="00DD43FF">
        <w:rPr>
          <w:lang w:val="fr-FR"/>
        </w:rPr>
        <w:t>’</w:t>
      </w:r>
      <w:r w:rsidR="008D3DC6">
        <w:rPr>
          <w:lang w:val="fr-FR"/>
        </w:rPr>
        <w:t xml:space="preserve">établir un </w:t>
      </w:r>
      <w:r w:rsidR="008D3DC6" w:rsidRPr="008D3DC6">
        <w:rPr>
          <w:lang w:val="fr-FR"/>
        </w:rPr>
        <w:t>groupe de travail</w:t>
      </w:r>
      <w:r w:rsidR="008D3DC6">
        <w:rPr>
          <w:lang w:val="fr-FR"/>
        </w:rPr>
        <w:t xml:space="preserve"> informel ad hoc, […] pour examiner les questions relatives à la consultation et au dialogue entre l</w:t>
      </w:r>
      <w:r w:rsidR="00DD43FF">
        <w:rPr>
          <w:lang w:val="fr-FR"/>
        </w:rPr>
        <w:t>’</w:t>
      </w:r>
      <w:r w:rsidR="008D3DC6">
        <w:rPr>
          <w:lang w:val="fr-FR"/>
        </w:rPr>
        <w:t>Organe d</w:t>
      </w:r>
      <w:r w:rsidR="00DD43FF">
        <w:rPr>
          <w:lang w:val="fr-FR"/>
        </w:rPr>
        <w:t>’</w:t>
      </w:r>
      <w:r w:rsidR="008D3DC6">
        <w:rPr>
          <w:lang w:val="fr-FR"/>
        </w:rPr>
        <w:t>évaluation et les États soumissionnaires, la procédure de prise de décision du Comité sur les candidatures</w:t>
      </w:r>
      <w:r w:rsidR="00C2054A">
        <w:rPr>
          <w:lang w:val="fr-FR"/>
        </w:rPr>
        <w:t>, propositions et demandes ainsi</w:t>
      </w:r>
      <w:r w:rsidR="008D3DC6">
        <w:rPr>
          <w:lang w:val="fr-FR"/>
        </w:rPr>
        <w:t xml:space="preserve"> que toute autre question en vue de renforcer la mise en œuvre de la </w:t>
      </w:r>
      <w:r w:rsidR="008D3DC6" w:rsidRPr="008D3DC6">
        <w:rPr>
          <w:lang w:val="fr-FR"/>
        </w:rPr>
        <w:t>Convention</w:t>
      </w:r>
      <w:r w:rsidR="00C2054A">
        <w:rPr>
          <w:lang w:val="fr-FR"/>
        </w:rPr>
        <w:t> »</w:t>
      </w:r>
      <w:r w:rsidR="008D3DC6">
        <w:rPr>
          <w:lang w:val="fr-FR"/>
        </w:rPr>
        <w:t xml:space="preserve"> (</w:t>
      </w:r>
      <w:hyperlink r:id="rId9" w:history="1">
        <w:r w:rsidR="00D02860">
          <w:rPr>
            <w:rStyle w:val="Hyperlink"/>
            <w:lang w:val="fr-FR"/>
          </w:rPr>
          <w:t>décision 11.COM </w:t>
        </w:r>
        <w:r w:rsidR="00C2054A" w:rsidRPr="00C2054A">
          <w:rPr>
            <w:rStyle w:val="Hyperlink"/>
            <w:lang w:val="fr-FR"/>
          </w:rPr>
          <w:t>10</w:t>
        </w:r>
      </w:hyperlink>
      <w:r w:rsidR="00D3288A">
        <w:rPr>
          <w:lang w:val="fr-FR"/>
        </w:rPr>
        <w:t xml:space="preserve">, </w:t>
      </w:r>
      <w:r w:rsidR="00C2054A" w:rsidRPr="00C2054A">
        <w:rPr>
          <w:lang w:val="fr-FR"/>
        </w:rPr>
        <w:t>paragraphe</w:t>
      </w:r>
      <w:r w:rsidR="00C2054A">
        <w:rPr>
          <w:lang w:val="fr-FR"/>
        </w:rPr>
        <w:t xml:space="preserve"> 13).</w:t>
      </w:r>
    </w:p>
    <w:p w14:paraId="2CB95AEA" w14:textId="3B2C2CD4" w:rsidR="00C2054A" w:rsidRDefault="00C2054A" w:rsidP="00751835">
      <w:pPr>
        <w:pStyle w:val="COMPara"/>
        <w:jc w:val="both"/>
        <w:rPr>
          <w:lang w:val="fr-FR"/>
        </w:rPr>
      </w:pPr>
      <w:r>
        <w:rPr>
          <w:lang w:val="fr-FR"/>
        </w:rPr>
        <w:t xml:space="preserve">À sa douzième session, le Comité a examiné le rapport du </w:t>
      </w:r>
      <w:r w:rsidRPr="00C2054A">
        <w:rPr>
          <w:lang w:val="fr-FR"/>
        </w:rPr>
        <w:t>groupe de travail</w:t>
      </w:r>
      <w:r>
        <w:rPr>
          <w:lang w:val="fr-FR"/>
        </w:rPr>
        <w:t xml:space="preserve"> informel ad hoc. </w:t>
      </w:r>
      <w:r w:rsidR="00751835">
        <w:rPr>
          <w:lang w:val="fr-FR"/>
        </w:rPr>
        <w:t>Lors de cette session, i</w:t>
      </w:r>
      <w:r>
        <w:rPr>
          <w:lang w:val="fr-FR"/>
        </w:rPr>
        <w:t>l a noté l</w:t>
      </w:r>
      <w:r w:rsidR="00DD43FF">
        <w:rPr>
          <w:lang w:val="fr-FR"/>
        </w:rPr>
        <w:t>’</w:t>
      </w:r>
      <w:r>
        <w:rPr>
          <w:lang w:val="fr-FR"/>
        </w:rPr>
        <w:t>avis de l</w:t>
      </w:r>
      <w:r w:rsidR="00DD43FF">
        <w:rPr>
          <w:lang w:val="fr-FR"/>
        </w:rPr>
        <w:t>’</w:t>
      </w:r>
      <w:r>
        <w:rPr>
          <w:lang w:val="fr-FR"/>
        </w:rPr>
        <w:t>Organe d</w:t>
      </w:r>
      <w:r w:rsidR="00DD43FF">
        <w:rPr>
          <w:lang w:val="fr-FR"/>
        </w:rPr>
        <w:t>’</w:t>
      </w:r>
      <w:r>
        <w:rPr>
          <w:lang w:val="fr-FR"/>
        </w:rPr>
        <w:t>évaluation préconisant de donner du temps, au moins jusqu</w:t>
      </w:r>
      <w:r w:rsidR="00DD43FF">
        <w:rPr>
          <w:lang w:val="fr-FR"/>
        </w:rPr>
        <w:t>’</w:t>
      </w:r>
      <w:r>
        <w:rPr>
          <w:lang w:val="fr-FR"/>
        </w:rPr>
        <w:t>à la fin du cycle 2019, pour que certains ajustements introduits dans le processus d</w:t>
      </w:r>
      <w:r w:rsidR="00DD43FF">
        <w:rPr>
          <w:lang w:val="fr-FR"/>
        </w:rPr>
        <w:t>’</w:t>
      </w:r>
      <w:r w:rsidRPr="00C2054A">
        <w:rPr>
          <w:lang w:val="fr-FR"/>
        </w:rPr>
        <w:t>évaluation</w:t>
      </w:r>
      <w:r>
        <w:rPr>
          <w:lang w:val="fr-FR"/>
        </w:rPr>
        <w:t xml:space="preserve"> prennent effet, avant d</w:t>
      </w:r>
      <w:r w:rsidR="00DD43FF">
        <w:rPr>
          <w:lang w:val="fr-FR"/>
        </w:rPr>
        <w:t>’</w:t>
      </w:r>
      <w:r>
        <w:rPr>
          <w:lang w:val="fr-FR"/>
        </w:rPr>
        <w:t>envisager l</w:t>
      </w:r>
      <w:r w:rsidR="00DD43FF">
        <w:rPr>
          <w:lang w:val="fr-FR"/>
        </w:rPr>
        <w:t>’</w:t>
      </w:r>
      <w:r w:rsidRPr="00C2054A">
        <w:rPr>
          <w:lang w:val="fr-FR"/>
        </w:rPr>
        <w:t>établissement</w:t>
      </w:r>
      <w:r>
        <w:rPr>
          <w:lang w:val="fr-FR"/>
        </w:rPr>
        <w:t xml:space="preserve"> d</w:t>
      </w:r>
      <w:r w:rsidR="00DD43FF">
        <w:rPr>
          <w:lang w:val="fr-FR"/>
        </w:rPr>
        <w:t>’</w:t>
      </w:r>
      <w:r>
        <w:rPr>
          <w:lang w:val="fr-FR"/>
        </w:rPr>
        <w:t>un processus formel de « dialogue ». En conséquence, le Comité a décidé de reprendre le débat sur le dialogue entre l</w:t>
      </w:r>
      <w:r w:rsidR="00DD43FF">
        <w:rPr>
          <w:lang w:val="fr-FR"/>
        </w:rPr>
        <w:t>’</w:t>
      </w:r>
      <w:r>
        <w:rPr>
          <w:lang w:val="fr-FR"/>
        </w:rPr>
        <w:t>Organe d</w:t>
      </w:r>
      <w:r w:rsidR="00DD43FF">
        <w:rPr>
          <w:lang w:val="fr-FR"/>
        </w:rPr>
        <w:t>’</w:t>
      </w:r>
      <w:r>
        <w:rPr>
          <w:lang w:val="fr-FR"/>
        </w:rPr>
        <w:t>évaluation et les États soumissionnaires à sa quatorzième session (</w:t>
      </w:r>
      <w:hyperlink r:id="rId10" w:history="1">
        <w:r w:rsidRPr="00C2054A">
          <w:rPr>
            <w:rStyle w:val="Hyperlink"/>
            <w:lang w:val="fr-FR"/>
          </w:rPr>
          <w:t>décision 12.COM 13</w:t>
        </w:r>
      </w:hyperlink>
      <w:r w:rsidR="008A7101">
        <w:rPr>
          <w:lang w:val="fr-FR"/>
        </w:rPr>
        <w:t>).</w:t>
      </w:r>
    </w:p>
    <w:p w14:paraId="574A75D1" w14:textId="7E86264C" w:rsidR="00C2054A" w:rsidRPr="00C2054A" w:rsidRDefault="008D6B75" w:rsidP="00997A2C">
      <w:pPr>
        <w:pStyle w:val="COMPara"/>
        <w:jc w:val="both"/>
        <w:rPr>
          <w:lang w:val="fr-FR"/>
        </w:rPr>
      </w:pPr>
      <w:r>
        <w:rPr>
          <w:lang w:val="fr-FR"/>
        </w:rPr>
        <w:t>Par</w:t>
      </w:r>
      <w:r w:rsidR="00C2054A" w:rsidRPr="00C2054A">
        <w:rPr>
          <w:lang w:val="fr-FR"/>
        </w:rPr>
        <w:t xml:space="preserve"> la même décision, </w:t>
      </w:r>
      <w:r w:rsidR="00C2054A">
        <w:rPr>
          <w:lang w:val="fr-FR"/>
        </w:rPr>
        <w:t xml:space="preserve">le Comité a </w:t>
      </w:r>
      <w:r w:rsidR="00C2054A" w:rsidRPr="00C2054A">
        <w:rPr>
          <w:lang w:val="fr-FR"/>
        </w:rPr>
        <w:t>également</w:t>
      </w:r>
      <w:r w:rsidR="00C2054A">
        <w:rPr>
          <w:lang w:val="fr-FR"/>
        </w:rPr>
        <w:t xml:space="preserve"> décidé de maintenir le </w:t>
      </w:r>
      <w:r w:rsidR="00C2054A" w:rsidRPr="00C2054A">
        <w:rPr>
          <w:lang w:val="fr-FR"/>
        </w:rPr>
        <w:t>groupe de travail</w:t>
      </w:r>
      <w:r>
        <w:rPr>
          <w:lang w:val="fr-FR"/>
        </w:rPr>
        <w:t xml:space="preserve"> informel ad hoc en 2018, transformé en groupe à composition </w:t>
      </w:r>
      <w:r w:rsidR="00C2054A">
        <w:rPr>
          <w:lang w:val="fr-FR"/>
        </w:rPr>
        <w:t>non limitée</w:t>
      </w:r>
      <w:r>
        <w:rPr>
          <w:lang w:val="fr-FR"/>
        </w:rPr>
        <w:t xml:space="preserve"> afin d</w:t>
      </w:r>
      <w:r w:rsidR="00DD43FF">
        <w:rPr>
          <w:lang w:val="fr-FR"/>
        </w:rPr>
        <w:t>’</w:t>
      </w:r>
      <w:r>
        <w:rPr>
          <w:lang w:val="fr-FR"/>
        </w:rPr>
        <w:t xml:space="preserve">intégrer tous les États parties intéressés, et a redéfini son mandat afin de </w:t>
      </w:r>
      <w:r w:rsidR="00137028">
        <w:rPr>
          <w:lang w:val="fr-FR"/>
        </w:rPr>
        <w:t xml:space="preserve">traiter </w:t>
      </w:r>
      <w:r>
        <w:rPr>
          <w:lang w:val="fr-FR"/>
        </w:rPr>
        <w:t xml:space="preserve">les cinq principaux </w:t>
      </w:r>
      <w:r w:rsidR="00137028">
        <w:rPr>
          <w:lang w:val="fr-FR"/>
        </w:rPr>
        <w:t xml:space="preserve">sujets </w:t>
      </w:r>
      <w:r>
        <w:rPr>
          <w:lang w:val="fr-FR"/>
        </w:rPr>
        <w:t>suivants :</w:t>
      </w:r>
    </w:p>
    <w:p w14:paraId="0CF71B97" w14:textId="40C7286B" w:rsidR="008D6B75" w:rsidRDefault="008D6B75" w:rsidP="000E795D">
      <w:pPr>
        <w:pStyle w:val="COMPara"/>
        <w:numPr>
          <w:ilvl w:val="2"/>
          <w:numId w:val="9"/>
        </w:numPr>
        <w:ind w:left="1134" w:hanging="567"/>
        <w:jc w:val="both"/>
        <w:rPr>
          <w:lang w:val="fr-FR"/>
        </w:rPr>
      </w:pPr>
      <w:proofErr w:type="gramStart"/>
      <w:r>
        <w:rPr>
          <w:lang w:val="fr-FR"/>
        </w:rPr>
        <w:t>étudier</w:t>
      </w:r>
      <w:proofErr w:type="gramEnd"/>
      <w:r>
        <w:rPr>
          <w:lang w:val="fr-FR"/>
        </w:rPr>
        <w:t xml:space="preserve"> le mécanisme de </w:t>
      </w:r>
      <w:r w:rsidRPr="008D6B75">
        <w:rPr>
          <w:lang w:val="fr-FR"/>
        </w:rPr>
        <w:t>financement</w:t>
      </w:r>
      <w:r>
        <w:rPr>
          <w:lang w:val="fr-FR"/>
        </w:rPr>
        <w:t xml:space="preserve"> de la </w:t>
      </w:r>
      <w:r w:rsidRPr="008D6B75">
        <w:rPr>
          <w:lang w:val="fr-FR"/>
        </w:rPr>
        <w:t>Convention</w:t>
      </w:r>
      <w:r>
        <w:rPr>
          <w:lang w:val="fr-FR"/>
        </w:rPr>
        <w:t>, y compris la mobilisation des ressources ;</w:t>
      </w:r>
    </w:p>
    <w:p w14:paraId="1247F26B" w14:textId="7ECCEFDC" w:rsidR="008D6B75" w:rsidRDefault="008D6B75" w:rsidP="000E795D">
      <w:pPr>
        <w:pStyle w:val="COMPara"/>
        <w:numPr>
          <w:ilvl w:val="2"/>
          <w:numId w:val="9"/>
        </w:numPr>
        <w:ind w:left="1134" w:hanging="567"/>
        <w:jc w:val="both"/>
        <w:rPr>
          <w:lang w:val="fr-FR"/>
        </w:rPr>
      </w:pPr>
      <w:proofErr w:type="gramStart"/>
      <w:r>
        <w:rPr>
          <w:lang w:val="fr-FR"/>
        </w:rPr>
        <w:t>permettre</w:t>
      </w:r>
      <w:proofErr w:type="gramEnd"/>
      <w:r>
        <w:rPr>
          <w:lang w:val="fr-FR"/>
        </w:rPr>
        <w:t xml:space="preserve"> la mise en œuvre des recommandations pertinentes du </w:t>
      </w:r>
      <w:r w:rsidRPr="008D6B75">
        <w:rPr>
          <w:lang w:val="fr-FR"/>
        </w:rPr>
        <w:t>groupe de travail</w:t>
      </w:r>
      <w:r>
        <w:rPr>
          <w:lang w:val="fr-FR"/>
        </w:rPr>
        <w:t xml:space="preserve"> à composition non limitée sur la gouvernance, les procédures et les méthodes de travail des organes directeurs de l</w:t>
      </w:r>
      <w:r w:rsidR="00DD43FF">
        <w:rPr>
          <w:lang w:val="fr-FR"/>
        </w:rPr>
        <w:t>’</w:t>
      </w:r>
      <w:r>
        <w:rPr>
          <w:lang w:val="fr-FR"/>
        </w:rPr>
        <w:t>UNESCO, telles qu</w:t>
      </w:r>
      <w:r w:rsidR="00DD43FF">
        <w:rPr>
          <w:lang w:val="fr-FR"/>
        </w:rPr>
        <w:t>’</w:t>
      </w:r>
      <w:r>
        <w:rPr>
          <w:lang w:val="fr-FR"/>
        </w:rPr>
        <w:t>adoptées lors de la 39</w:t>
      </w:r>
      <w:r w:rsidRPr="008D6B75">
        <w:rPr>
          <w:vertAlign w:val="superscript"/>
          <w:lang w:val="fr-FR"/>
        </w:rPr>
        <w:t>e</w:t>
      </w:r>
      <w:r>
        <w:rPr>
          <w:lang w:val="fr-FR"/>
        </w:rPr>
        <w:t xml:space="preserve"> Conférence générale ;</w:t>
      </w:r>
    </w:p>
    <w:p w14:paraId="5A64D894" w14:textId="3330F7F5" w:rsidR="008D6B75" w:rsidRDefault="008D6B75" w:rsidP="00751835">
      <w:pPr>
        <w:pStyle w:val="COMPara"/>
        <w:numPr>
          <w:ilvl w:val="2"/>
          <w:numId w:val="9"/>
        </w:numPr>
        <w:ind w:left="1134" w:hanging="567"/>
        <w:jc w:val="both"/>
        <w:rPr>
          <w:lang w:val="fr-FR"/>
        </w:rPr>
      </w:pPr>
      <w:proofErr w:type="gramStart"/>
      <w:r>
        <w:rPr>
          <w:lang w:val="fr-FR"/>
        </w:rPr>
        <w:t>réfléchir</w:t>
      </w:r>
      <w:proofErr w:type="gramEnd"/>
      <w:r>
        <w:rPr>
          <w:lang w:val="fr-FR"/>
        </w:rPr>
        <w:t xml:space="preserve"> davantage à un mécanisme de « dialogue » approprié, en consultation avec l</w:t>
      </w:r>
      <w:r w:rsidR="00DD43FF">
        <w:rPr>
          <w:lang w:val="fr-FR"/>
        </w:rPr>
        <w:t>’</w:t>
      </w:r>
      <w:r>
        <w:rPr>
          <w:lang w:val="fr-FR"/>
        </w:rPr>
        <w:t>Organe d</w:t>
      </w:r>
      <w:r w:rsidR="00DD43FF">
        <w:rPr>
          <w:lang w:val="fr-FR"/>
        </w:rPr>
        <w:t>’</w:t>
      </w:r>
      <w:r>
        <w:rPr>
          <w:lang w:val="fr-FR"/>
        </w:rPr>
        <w:t xml:space="preserve">évaluation, en tenant compte des résolutions </w:t>
      </w:r>
      <w:r w:rsidR="00751835">
        <w:rPr>
          <w:lang w:val="fr-FR"/>
        </w:rPr>
        <w:t xml:space="preserve">respectives </w:t>
      </w:r>
      <w:r>
        <w:rPr>
          <w:lang w:val="fr-FR"/>
        </w:rPr>
        <w:t>de la prochaine Assemblée générale ;</w:t>
      </w:r>
    </w:p>
    <w:p w14:paraId="4F7DF3F8" w14:textId="77C315FE" w:rsidR="00561B2A" w:rsidRPr="00561B2A" w:rsidRDefault="008D6B75" w:rsidP="00751835">
      <w:pPr>
        <w:pStyle w:val="COMPara"/>
        <w:numPr>
          <w:ilvl w:val="2"/>
          <w:numId w:val="9"/>
        </w:numPr>
        <w:ind w:left="1134" w:hanging="567"/>
        <w:jc w:val="both"/>
        <w:rPr>
          <w:lang w:val="fr-FR"/>
        </w:rPr>
      </w:pPr>
      <w:proofErr w:type="gramStart"/>
      <w:r>
        <w:rPr>
          <w:lang w:val="fr-FR"/>
        </w:rPr>
        <w:t>réfléchir</w:t>
      </w:r>
      <w:proofErr w:type="gramEnd"/>
      <w:r>
        <w:rPr>
          <w:lang w:val="fr-FR"/>
        </w:rPr>
        <w:t xml:space="preserve">, en consultation avec les ONG accréditées, aux différentes façons possibles de renforcer davantage la </w:t>
      </w:r>
      <w:r w:rsidRPr="008D6B75">
        <w:rPr>
          <w:lang w:val="fr-FR"/>
        </w:rPr>
        <w:t>participation</w:t>
      </w:r>
      <w:r w:rsidR="00561B2A">
        <w:rPr>
          <w:lang w:val="fr-FR"/>
        </w:rPr>
        <w:t xml:space="preserve"> des ONG dans le</w:t>
      </w:r>
      <w:r>
        <w:rPr>
          <w:lang w:val="fr-FR"/>
        </w:rPr>
        <w:t xml:space="preserve"> cadre de la </w:t>
      </w:r>
      <w:r w:rsidRPr="008D6B75">
        <w:rPr>
          <w:lang w:val="fr-FR"/>
        </w:rPr>
        <w:t>Convention</w:t>
      </w:r>
      <w:r>
        <w:rPr>
          <w:lang w:val="fr-FR"/>
        </w:rPr>
        <w:t xml:space="preserve"> de 2003</w:t>
      </w:r>
      <w:r w:rsidR="00561B2A">
        <w:rPr>
          <w:lang w:val="fr-FR"/>
        </w:rPr>
        <w:t xml:space="preserve"> et à la manière dont </w:t>
      </w:r>
      <w:r w:rsidR="00751835">
        <w:rPr>
          <w:lang w:val="fr-FR"/>
        </w:rPr>
        <w:t>cela</w:t>
      </w:r>
      <w:r w:rsidR="00561B2A">
        <w:rPr>
          <w:lang w:val="fr-FR"/>
        </w:rPr>
        <w:t xml:space="preserve"> pourrait se refléter dans les mécanismes d</w:t>
      </w:r>
      <w:r w:rsidR="00DD43FF">
        <w:rPr>
          <w:lang w:val="fr-FR"/>
        </w:rPr>
        <w:t>’</w:t>
      </w:r>
      <w:r w:rsidR="00561B2A" w:rsidRPr="00561B2A">
        <w:rPr>
          <w:lang w:val="fr-FR"/>
        </w:rPr>
        <w:t xml:space="preserve">accréditation </w:t>
      </w:r>
      <w:r w:rsidR="00561B2A">
        <w:rPr>
          <w:lang w:val="fr-FR"/>
        </w:rPr>
        <w:t>et de renouvellement des ONG ;</w:t>
      </w:r>
    </w:p>
    <w:p w14:paraId="067D1DE8" w14:textId="36FEDE54" w:rsidR="00561B2A" w:rsidRDefault="00561B2A" w:rsidP="004A6D48">
      <w:pPr>
        <w:pStyle w:val="COMPara"/>
        <w:numPr>
          <w:ilvl w:val="2"/>
          <w:numId w:val="9"/>
        </w:numPr>
        <w:ind w:left="1134" w:hanging="567"/>
        <w:jc w:val="both"/>
        <w:rPr>
          <w:lang w:val="fr-FR"/>
        </w:rPr>
      </w:pPr>
      <w:proofErr w:type="gramStart"/>
      <w:r>
        <w:rPr>
          <w:lang w:val="fr-FR"/>
        </w:rPr>
        <w:t>réfléchir</w:t>
      </w:r>
      <w:proofErr w:type="gramEnd"/>
      <w:r>
        <w:rPr>
          <w:lang w:val="fr-FR"/>
        </w:rPr>
        <w:t xml:space="preserve"> à toute autre question pour </w:t>
      </w:r>
      <w:r w:rsidR="008A7101">
        <w:rPr>
          <w:lang w:val="fr-FR"/>
        </w:rPr>
        <w:t>faciliter le travail du Comité.</w:t>
      </w:r>
    </w:p>
    <w:p w14:paraId="0463E1B6" w14:textId="0AAF5B7B" w:rsidR="00561B2A" w:rsidRPr="00561B2A" w:rsidRDefault="00561B2A" w:rsidP="002140CA">
      <w:pPr>
        <w:pStyle w:val="COMPara"/>
        <w:jc w:val="both"/>
        <w:rPr>
          <w:lang w:val="fr-FR"/>
        </w:rPr>
      </w:pPr>
      <w:r w:rsidRPr="00561B2A">
        <w:rPr>
          <w:lang w:val="fr-FR"/>
        </w:rPr>
        <w:t xml:space="preserve">À la première réunion du Bureau de la treizième session </w:t>
      </w:r>
      <w:r>
        <w:rPr>
          <w:lang w:val="fr-FR"/>
        </w:rPr>
        <w:t>du Comité, qui s</w:t>
      </w:r>
      <w:r w:rsidR="00DD43FF">
        <w:rPr>
          <w:lang w:val="fr-FR"/>
        </w:rPr>
        <w:t>’</w:t>
      </w:r>
      <w:r>
        <w:rPr>
          <w:lang w:val="fr-FR"/>
        </w:rPr>
        <w:t>est tenue au Siège de l</w:t>
      </w:r>
      <w:r w:rsidR="00DD43FF">
        <w:rPr>
          <w:lang w:val="fr-FR"/>
        </w:rPr>
        <w:t>’</w:t>
      </w:r>
      <w:r>
        <w:rPr>
          <w:lang w:val="fr-FR"/>
        </w:rPr>
        <w:t>UNESCO en mars 2018, il a été convenu que l</w:t>
      </w:r>
      <w:r w:rsidR="00DD43FF">
        <w:rPr>
          <w:lang w:val="fr-FR"/>
        </w:rPr>
        <w:t>’</w:t>
      </w:r>
      <w:r>
        <w:rPr>
          <w:lang w:val="fr-FR"/>
        </w:rPr>
        <w:t xml:space="preserve">Algérie et les Philippines coprésideraient le </w:t>
      </w:r>
      <w:r w:rsidRPr="00561B2A">
        <w:rPr>
          <w:lang w:val="fr-FR"/>
        </w:rPr>
        <w:t>groupe de travail</w:t>
      </w:r>
      <w:r>
        <w:rPr>
          <w:lang w:val="fr-FR"/>
        </w:rPr>
        <w:t xml:space="preserve"> informe</w:t>
      </w:r>
      <w:r w:rsidR="00137028">
        <w:rPr>
          <w:lang w:val="fr-FR"/>
        </w:rPr>
        <w:t>l ad hoc en 2018 et que Maurice</w:t>
      </w:r>
      <w:r w:rsidR="002140CA">
        <w:rPr>
          <w:lang w:val="fr-FR"/>
        </w:rPr>
        <w:t>, au titre de pays hôte de la treizième session du Comité,</w:t>
      </w:r>
      <w:r w:rsidR="00137028">
        <w:rPr>
          <w:lang w:val="fr-FR"/>
        </w:rPr>
        <w:t xml:space="preserve"> </w:t>
      </w:r>
      <w:r>
        <w:rPr>
          <w:lang w:val="fr-FR"/>
        </w:rPr>
        <w:t>serait tenu informé des</w:t>
      </w:r>
      <w:r w:rsidR="00137028">
        <w:rPr>
          <w:lang w:val="fr-FR"/>
        </w:rPr>
        <w:t xml:space="preserve"> avancées du groupe.</w:t>
      </w:r>
    </w:p>
    <w:p w14:paraId="026E8135" w14:textId="12A0FC5B" w:rsidR="00561B2A" w:rsidRPr="00561B2A" w:rsidRDefault="00561B2A" w:rsidP="002140CA">
      <w:pPr>
        <w:pStyle w:val="COMPara"/>
        <w:jc w:val="both"/>
        <w:rPr>
          <w:lang w:val="fr-FR"/>
        </w:rPr>
      </w:pPr>
      <w:r>
        <w:rPr>
          <w:lang w:val="fr-FR"/>
        </w:rPr>
        <w:t xml:space="preserve">Suite à la </w:t>
      </w:r>
      <w:hyperlink r:id="rId11" w:history="1">
        <w:r w:rsidRPr="00C2054A">
          <w:rPr>
            <w:rStyle w:val="Hyperlink"/>
            <w:lang w:val="fr-FR"/>
          </w:rPr>
          <w:t>décision 12.COM 13</w:t>
        </w:r>
      </w:hyperlink>
      <w:r>
        <w:rPr>
          <w:lang w:val="fr-FR"/>
        </w:rPr>
        <w:t xml:space="preserve">, le rapport du </w:t>
      </w:r>
      <w:r w:rsidRPr="00561B2A">
        <w:rPr>
          <w:lang w:val="fr-FR"/>
        </w:rPr>
        <w:t>groupe de travail</w:t>
      </w:r>
      <w:r>
        <w:rPr>
          <w:lang w:val="fr-FR"/>
        </w:rPr>
        <w:t xml:space="preserve"> informel ad hoc de 2017 a été soumis à la septième session de l</w:t>
      </w:r>
      <w:r w:rsidR="00DD43FF">
        <w:rPr>
          <w:lang w:val="fr-FR"/>
        </w:rPr>
        <w:t>’</w:t>
      </w:r>
      <w:r>
        <w:rPr>
          <w:lang w:val="fr-FR"/>
        </w:rPr>
        <w:t>Assemblée générale</w:t>
      </w:r>
      <w:r w:rsidR="002140CA">
        <w:rPr>
          <w:lang w:val="fr-FR"/>
        </w:rPr>
        <w:t xml:space="preserve"> pour examen</w:t>
      </w:r>
      <w:r>
        <w:rPr>
          <w:lang w:val="fr-FR"/>
        </w:rPr>
        <w:t xml:space="preserve">. </w:t>
      </w:r>
      <w:r w:rsidR="00E83862">
        <w:rPr>
          <w:lang w:val="fr-FR"/>
        </w:rPr>
        <w:t>Cette dernière, p</w:t>
      </w:r>
      <w:r>
        <w:rPr>
          <w:lang w:val="fr-FR"/>
        </w:rPr>
        <w:t xml:space="preserve">ar sa </w:t>
      </w:r>
      <w:hyperlink r:id="rId12" w:history="1">
        <w:r w:rsidR="00E83862">
          <w:rPr>
            <w:rStyle w:val="Hyperlink"/>
            <w:lang w:val="fr-FR"/>
          </w:rPr>
          <w:t>résol</w:t>
        </w:r>
        <w:r w:rsidR="00E83862">
          <w:rPr>
            <w:rStyle w:val="Hyperlink"/>
            <w:lang w:val="fr-FR"/>
          </w:rPr>
          <w:t>u</w:t>
        </w:r>
        <w:r w:rsidR="00E83862">
          <w:rPr>
            <w:rStyle w:val="Hyperlink"/>
            <w:lang w:val="fr-FR"/>
          </w:rPr>
          <w:t>tion 7.GA </w:t>
        </w:r>
        <w:r w:rsidR="00E83862" w:rsidRPr="00E83862">
          <w:rPr>
            <w:rStyle w:val="Hyperlink"/>
            <w:lang w:val="fr-FR"/>
          </w:rPr>
          <w:t>6</w:t>
        </w:r>
      </w:hyperlink>
      <w:r w:rsidR="00E83862">
        <w:rPr>
          <w:lang w:val="fr-FR"/>
        </w:rPr>
        <w:t xml:space="preserve">, a demandé que « le </w:t>
      </w:r>
      <w:r w:rsidR="00E83862" w:rsidRPr="00E83862">
        <w:rPr>
          <w:lang w:val="fr-FR"/>
        </w:rPr>
        <w:t>groupe de travail</w:t>
      </w:r>
      <w:r w:rsidR="00E83862">
        <w:rPr>
          <w:lang w:val="fr-FR"/>
        </w:rPr>
        <w:t xml:space="preserve"> informel ad hoc présent</w:t>
      </w:r>
      <w:r w:rsidR="004A6D48">
        <w:rPr>
          <w:lang w:val="fr-FR"/>
        </w:rPr>
        <w:t>[</w:t>
      </w:r>
      <w:r w:rsidR="00E83862">
        <w:rPr>
          <w:lang w:val="fr-FR"/>
        </w:rPr>
        <w:t>e</w:t>
      </w:r>
      <w:r w:rsidR="004A6D48">
        <w:rPr>
          <w:lang w:val="fr-FR"/>
        </w:rPr>
        <w:t>]</w:t>
      </w:r>
      <w:r w:rsidR="00E83862">
        <w:rPr>
          <w:lang w:val="fr-FR"/>
        </w:rPr>
        <w:t xml:space="preserve"> ses </w:t>
      </w:r>
      <w:r w:rsidR="00E83862" w:rsidRPr="00E83862">
        <w:rPr>
          <w:lang w:val="fr-FR"/>
        </w:rPr>
        <w:t>délibérations</w:t>
      </w:r>
      <w:r w:rsidR="00E83862">
        <w:rPr>
          <w:lang w:val="fr-FR"/>
        </w:rPr>
        <w:t xml:space="preserve"> et recommandations lors de la treizième session du Comité, en prenant en compte la redéfinition de son mandat pour l</w:t>
      </w:r>
      <w:r w:rsidR="00DD43FF">
        <w:rPr>
          <w:lang w:val="fr-FR"/>
        </w:rPr>
        <w:t>’</w:t>
      </w:r>
      <w:r w:rsidR="00E83862">
        <w:rPr>
          <w:lang w:val="fr-FR"/>
        </w:rPr>
        <w:t>année 2018, ainsi que les discussions qui se sont tenues pendant la septième session de l</w:t>
      </w:r>
      <w:r w:rsidR="00DD43FF">
        <w:rPr>
          <w:lang w:val="fr-FR"/>
        </w:rPr>
        <w:t>’</w:t>
      </w:r>
      <w:r w:rsidR="00E83862">
        <w:rPr>
          <w:lang w:val="fr-FR"/>
        </w:rPr>
        <w:t>Assemblée générale. » L</w:t>
      </w:r>
      <w:r w:rsidR="00DD43FF">
        <w:rPr>
          <w:lang w:val="fr-FR"/>
        </w:rPr>
        <w:t>’</w:t>
      </w:r>
      <w:r w:rsidR="00E83862">
        <w:rPr>
          <w:lang w:val="fr-FR"/>
        </w:rPr>
        <w:t xml:space="preserve">annexe </w:t>
      </w:r>
      <w:r w:rsidR="002140CA">
        <w:rPr>
          <w:lang w:val="fr-FR"/>
        </w:rPr>
        <w:t xml:space="preserve">de </w:t>
      </w:r>
      <w:r w:rsidR="00E83862">
        <w:rPr>
          <w:lang w:val="fr-FR"/>
        </w:rPr>
        <w:t xml:space="preserve">ce document, </w:t>
      </w:r>
      <w:r w:rsidR="002140CA">
        <w:rPr>
          <w:lang w:val="fr-FR"/>
        </w:rPr>
        <w:t xml:space="preserve">telle que </w:t>
      </w:r>
      <w:r w:rsidR="00E83862">
        <w:rPr>
          <w:lang w:val="fr-FR"/>
        </w:rPr>
        <w:t>préparé</w:t>
      </w:r>
      <w:r w:rsidR="002140CA">
        <w:rPr>
          <w:lang w:val="fr-FR"/>
        </w:rPr>
        <w:t>e</w:t>
      </w:r>
      <w:r w:rsidR="00E83862">
        <w:rPr>
          <w:lang w:val="fr-FR"/>
        </w:rPr>
        <w:t xml:space="preserve"> par le </w:t>
      </w:r>
      <w:r w:rsidR="00E83862" w:rsidRPr="00E83862">
        <w:rPr>
          <w:lang w:val="fr-FR"/>
        </w:rPr>
        <w:t>groupe de travail</w:t>
      </w:r>
      <w:r w:rsidR="00E83862">
        <w:rPr>
          <w:lang w:val="fr-FR"/>
        </w:rPr>
        <w:t xml:space="preserve">, rend compte de ses </w:t>
      </w:r>
      <w:r w:rsidR="00E83862" w:rsidRPr="00E83862">
        <w:rPr>
          <w:lang w:val="fr-FR"/>
        </w:rPr>
        <w:t>délibérations</w:t>
      </w:r>
      <w:r w:rsidR="00E83862">
        <w:rPr>
          <w:lang w:val="fr-FR"/>
        </w:rPr>
        <w:t xml:space="preserve"> et recommandations.</w:t>
      </w:r>
      <w:r w:rsidR="008A7101">
        <w:rPr>
          <w:lang w:val="fr-FR"/>
        </w:rPr>
        <w:t xml:space="preserve"> </w:t>
      </w:r>
      <w:r w:rsidR="00E83862">
        <w:rPr>
          <w:lang w:val="fr-FR"/>
        </w:rPr>
        <w:t xml:space="preserve">Le projet de décision, inclus dans ce document, a </w:t>
      </w:r>
      <w:r w:rsidR="00E83862" w:rsidRPr="00E83862">
        <w:rPr>
          <w:lang w:val="fr-FR"/>
        </w:rPr>
        <w:t>également</w:t>
      </w:r>
      <w:r w:rsidR="00E83862">
        <w:rPr>
          <w:lang w:val="fr-FR"/>
        </w:rPr>
        <w:t xml:space="preserve"> été préparé par le </w:t>
      </w:r>
      <w:r w:rsidR="00E83862" w:rsidRPr="00E83862">
        <w:rPr>
          <w:lang w:val="fr-FR"/>
        </w:rPr>
        <w:t>groupe de travail</w:t>
      </w:r>
      <w:r w:rsidR="008A7101">
        <w:rPr>
          <w:lang w:val="fr-FR"/>
        </w:rPr>
        <w:t>.</w:t>
      </w:r>
    </w:p>
    <w:p w14:paraId="6299BE0C" w14:textId="1C53F19A" w:rsidR="00D95C4C" w:rsidRPr="00561B2A" w:rsidRDefault="00E83862" w:rsidP="000B1C8F">
      <w:pPr>
        <w:pStyle w:val="COMPara"/>
        <w:rPr>
          <w:lang w:val="fr-FR"/>
        </w:rPr>
      </w:pPr>
      <w:r>
        <w:rPr>
          <w:lang w:val="fr-FR"/>
        </w:rPr>
        <w:t xml:space="preserve">Le Comité souhaitera </w:t>
      </w:r>
      <w:r w:rsidRPr="00E83862">
        <w:rPr>
          <w:lang w:val="fr-FR"/>
        </w:rPr>
        <w:t>peut-être</w:t>
      </w:r>
      <w:r>
        <w:rPr>
          <w:lang w:val="fr-FR"/>
        </w:rPr>
        <w:t xml:space="preserve"> adopter la </w:t>
      </w:r>
      <w:r w:rsidRPr="00E83862">
        <w:rPr>
          <w:lang w:val="fr-FR"/>
        </w:rPr>
        <w:t>décision</w:t>
      </w:r>
      <w:r w:rsidR="008A7101">
        <w:rPr>
          <w:lang w:val="fr-FR"/>
        </w:rPr>
        <w:t xml:space="preserve"> suivante </w:t>
      </w:r>
      <w:r w:rsidR="00D95C4C" w:rsidRPr="00561B2A">
        <w:rPr>
          <w:lang w:val="fr-FR"/>
        </w:rPr>
        <w:t>:</w:t>
      </w:r>
    </w:p>
    <w:p w14:paraId="3F1CB0C5" w14:textId="528AE0DF" w:rsidR="00D95C4C" w:rsidRPr="00561B2A" w:rsidRDefault="00E83862" w:rsidP="00817794">
      <w:pPr>
        <w:pStyle w:val="COMTitleDecision"/>
        <w:rPr>
          <w:rFonts w:eastAsia="SimSun"/>
          <w:lang w:val="fr-FR"/>
        </w:rPr>
      </w:pPr>
      <w:r>
        <w:rPr>
          <w:lang w:val="fr-FR"/>
        </w:rPr>
        <w:t>PROJET DE DÉCISION</w:t>
      </w:r>
      <w:r w:rsidR="00CB0542" w:rsidRPr="00561B2A">
        <w:rPr>
          <w:lang w:val="fr-FR"/>
        </w:rPr>
        <w:t xml:space="preserve"> 1</w:t>
      </w:r>
      <w:r w:rsidR="00817794" w:rsidRPr="00561B2A">
        <w:rPr>
          <w:lang w:val="fr-FR"/>
        </w:rPr>
        <w:t>3</w:t>
      </w:r>
      <w:r w:rsidR="00EC6F8D" w:rsidRPr="00561B2A">
        <w:rPr>
          <w:lang w:val="fr-FR"/>
        </w:rPr>
        <w:t>.COM</w:t>
      </w:r>
      <w:r w:rsidR="00D95C4C" w:rsidRPr="00561B2A">
        <w:rPr>
          <w:lang w:val="fr-FR"/>
        </w:rPr>
        <w:t xml:space="preserve"> </w:t>
      </w:r>
      <w:r w:rsidR="00817794" w:rsidRPr="00561B2A">
        <w:rPr>
          <w:lang w:val="fr-FR"/>
        </w:rPr>
        <w:t>16</w:t>
      </w:r>
    </w:p>
    <w:p w14:paraId="4AB64A4F" w14:textId="32A635B7" w:rsidR="00D95C4C" w:rsidRPr="00561B2A" w:rsidRDefault="00E83862" w:rsidP="00285BB4">
      <w:pPr>
        <w:pStyle w:val="COMPreambulaDecisions"/>
        <w:rPr>
          <w:rFonts w:eastAsia="SimSun"/>
          <w:lang w:val="fr-FR"/>
        </w:rPr>
      </w:pPr>
      <w:r>
        <w:rPr>
          <w:lang w:val="fr-FR"/>
        </w:rPr>
        <w:t>Le Comité</w:t>
      </w:r>
      <w:r w:rsidR="00285BB4" w:rsidRPr="00561B2A">
        <w:rPr>
          <w:lang w:val="fr-FR"/>
        </w:rPr>
        <w:t>,</w:t>
      </w:r>
    </w:p>
    <w:p w14:paraId="19FC72BF" w14:textId="237CFAA2" w:rsidR="00E1680D" w:rsidRPr="00E1680D" w:rsidRDefault="00E1680D" w:rsidP="00395712">
      <w:pPr>
        <w:pStyle w:val="ListParagraph"/>
        <w:numPr>
          <w:ilvl w:val="0"/>
          <w:numId w:val="54"/>
        </w:numPr>
        <w:spacing w:before="120" w:after="120"/>
        <w:ind w:left="1134" w:hanging="567"/>
        <w:contextualSpacing w:val="0"/>
        <w:jc w:val="both"/>
        <w:rPr>
          <w:rFonts w:ascii="Arial" w:hAnsi="Arial" w:cs="Arial"/>
          <w:sz w:val="22"/>
          <w:szCs w:val="22"/>
        </w:rPr>
      </w:pPr>
      <w:r w:rsidRPr="00FC7914">
        <w:rPr>
          <w:rFonts w:ascii="Arial" w:hAnsi="Arial" w:cs="Arial"/>
          <w:sz w:val="22"/>
          <w:szCs w:val="22"/>
          <w:u w:val="single"/>
        </w:rPr>
        <w:t>Ayant examiné</w:t>
      </w:r>
      <w:r w:rsidRPr="00395712">
        <w:rPr>
          <w:rFonts w:ascii="Arial" w:hAnsi="Arial" w:cs="Arial"/>
          <w:sz w:val="22"/>
          <w:szCs w:val="22"/>
        </w:rPr>
        <w:t xml:space="preserve"> </w:t>
      </w:r>
      <w:r w:rsidRPr="00E1680D">
        <w:rPr>
          <w:rFonts w:ascii="Arial" w:hAnsi="Arial" w:cs="Arial"/>
          <w:sz w:val="22"/>
          <w:szCs w:val="22"/>
        </w:rPr>
        <w:t>le document ITH/18/13.COM/16,</w:t>
      </w:r>
    </w:p>
    <w:p w14:paraId="04CACC61" w14:textId="5AE7F864" w:rsidR="00E1680D" w:rsidRPr="00FC7914" w:rsidRDefault="00E1680D" w:rsidP="00395712">
      <w:pPr>
        <w:pStyle w:val="ListParagraph"/>
        <w:numPr>
          <w:ilvl w:val="0"/>
          <w:numId w:val="54"/>
        </w:numPr>
        <w:spacing w:before="120" w:after="120"/>
        <w:ind w:left="1134" w:hanging="567"/>
        <w:contextualSpacing w:val="0"/>
        <w:jc w:val="both"/>
        <w:rPr>
          <w:rFonts w:ascii="Arial" w:hAnsi="Arial" w:cs="Arial"/>
          <w:sz w:val="22"/>
          <w:szCs w:val="22"/>
        </w:rPr>
      </w:pPr>
      <w:r w:rsidRPr="00FC7914">
        <w:rPr>
          <w:rFonts w:ascii="Arial" w:hAnsi="Arial" w:cs="Arial"/>
          <w:sz w:val="22"/>
          <w:szCs w:val="22"/>
          <w:u w:val="single"/>
        </w:rPr>
        <w:t>Rappelant</w:t>
      </w:r>
      <w:r w:rsidRPr="00E1680D">
        <w:rPr>
          <w:rFonts w:ascii="Arial" w:hAnsi="Arial" w:cs="Arial"/>
          <w:sz w:val="22"/>
          <w:szCs w:val="22"/>
        </w:rPr>
        <w:t xml:space="preserve"> l</w:t>
      </w:r>
      <w:r w:rsidR="00395712">
        <w:rPr>
          <w:rFonts w:ascii="Arial" w:hAnsi="Arial" w:cs="Arial"/>
          <w:sz w:val="22"/>
          <w:szCs w:val="22"/>
        </w:rPr>
        <w:t>a</w:t>
      </w:r>
      <w:r w:rsidRPr="00E1680D">
        <w:rPr>
          <w:rFonts w:ascii="Arial" w:hAnsi="Arial" w:cs="Arial"/>
          <w:sz w:val="22"/>
          <w:szCs w:val="22"/>
        </w:rPr>
        <w:t xml:space="preserve"> </w:t>
      </w:r>
      <w:hyperlink r:id="rId13" w:history="1">
        <w:r w:rsidRPr="00FC7914">
          <w:rPr>
            <w:rStyle w:val="Hyperlink"/>
            <w:rFonts w:ascii="Arial" w:hAnsi="Arial" w:cs="Arial"/>
            <w:sz w:val="22"/>
            <w:szCs w:val="22"/>
          </w:rPr>
          <w:t>décision</w:t>
        </w:r>
        <w:r w:rsidR="00FC7914">
          <w:rPr>
            <w:rStyle w:val="Hyperlink"/>
            <w:rFonts w:ascii="Arial" w:hAnsi="Arial" w:cs="Arial"/>
            <w:sz w:val="22"/>
            <w:szCs w:val="22"/>
          </w:rPr>
          <w:t> </w:t>
        </w:r>
        <w:r w:rsidRPr="00FC7914">
          <w:rPr>
            <w:rStyle w:val="Hyperlink"/>
            <w:rFonts w:ascii="Arial" w:hAnsi="Arial" w:cs="Arial"/>
            <w:sz w:val="22"/>
            <w:szCs w:val="22"/>
          </w:rPr>
          <w:t>11.COM</w:t>
        </w:r>
        <w:r w:rsidR="00395712" w:rsidRPr="00FC7914">
          <w:rPr>
            <w:rStyle w:val="Hyperlink"/>
            <w:rFonts w:ascii="Arial" w:hAnsi="Arial" w:cs="Arial"/>
            <w:sz w:val="22"/>
            <w:szCs w:val="22"/>
          </w:rPr>
          <w:t> </w:t>
        </w:r>
        <w:r w:rsidRPr="00FC7914">
          <w:rPr>
            <w:rStyle w:val="Hyperlink"/>
            <w:rFonts w:ascii="Arial" w:hAnsi="Arial" w:cs="Arial"/>
            <w:sz w:val="22"/>
            <w:szCs w:val="22"/>
          </w:rPr>
          <w:t>1</w:t>
        </w:r>
        <w:r w:rsidR="00395712" w:rsidRPr="00FC7914">
          <w:rPr>
            <w:rStyle w:val="Hyperlink"/>
            <w:rFonts w:ascii="Arial" w:hAnsi="Arial" w:cs="Arial"/>
            <w:sz w:val="22"/>
            <w:szCs w:val="22"/>
          </w:rPr>
          <w:t>0</w:t>
        </w:r>
      </w:hyperlink>
      <w:r w:rsidRPr="00FC7914">
        <w:rPr>
          <w:rFonts w:ascii="Arial" w:hAnsi="Arial" w:cs="Arial"/>
          <w:sz w:val="22"/>
          <w:szCs w:val="22"/>
        </w:rPr>
        <w:t xml:space="preserve"> et </w:t>
      </w:r>
      <w:r w:rsidR="00EE18C8" w:rsidRPr="00FC7914">
        <w:rPr>
          <w:rFonts w:ascii="Arial" w:hAnsi="Arial" w:cs="Arial"/>
          <w:sz w:val="22"/>
          <w:szCs w:val="22"/>
        </w:rPr>
        <w:t xml:space="preserve">la </w:t>
      </w:r>
      <w:hyperlink r:id="rId14" w:history="1">
        <w:r w:rsidR="00FC7914">
          <w:rPr>
            <w:rStyle w:val="Hyperlink"/>
            <w:rFonts w:ascii="Arial" w:hAnsi="Arial" w:cs="Arial"/>
            <w:sz w:val="22"/>
            <w:szCs w:val="22"/>
          </w:rPr>
          <w:t>décision </w:t>
        </w:r>
        <w:r w:rsidRPr="00FC7914">
          <w:rPr>
            <w:rStyle w:val="Hyperlink"/>
            <w:rFonts w:ascii="Arial" w:hAnsi="Arial" w:cs="Arial"/>
            <w:sz w:val="22"/>
            <w:szCs w:val="22"/>
          </w:rPr>
          <w:t>12.COM</w:t>
        </w:r>
        <w:r w:rsidR="00395712" w:rsidRPr="00FC7914">
          <w:rPr>
            <w:rStyle w:val="Hyperlink"/>
            <w:rFonts w:ascii="Arial" w:hAnsi="Arial" w:cs="Arial"/>
            <w:sz w:val="22"/>
            <w:szCs w:val="22"/>
          </w:rPr>
          <w:t> </w:t>
        </w:r>
        <w:r w:rsidRPr="00FC7914">
          <w:rPr>
            <w:rStyle w:val="Hyperlink"/>
            <w:rFonts w:ascii="Arial" w:hAnsi="Arial" w:cs="Arial"/>
            <w:sz w:val="22"/>
            <w:szCs w:val="22"/>
          </w:rPr>
          <w:t>13</w:t>
        </w:r>
      </w:hyperlink>
      <w:r w:rsidRPr="00FC7914">
        <w:rPr>
          <w:rFonts w:ascii="Arial" w:hAnsi="Arial" w:cs="Arial"/>
          <w:sz w:val="22"/>
          <w:szCs w:val="22"/>
        </w:rPr>
        <w:t xml:space="preserve"> </w:t>
      </w:r>
      <w:r w:rsidR="00395712" w:rsidRPr="00FC7914">
        <w:rPr>
          <w:rFonts w:ascii="Arial" w:hAnsi="Arial" w:cs="Arial"/>
          <w:sz w:val="22"/>
          <w:szCs w:val="22"/>
        </w:rPr>
        <w:t xml:space="preserve">ainsi que </w:t>
      </w:r>
      <w:r w:rsidRPr="00FC7914">
        <w:rPr>
          <w:rFonts w:ascii="Arial" w:hAnsi="Arial" w:cs="Arial"/>
          <w:sz w:val="22"/>
          <w:szCs w:val="22"/>
        </w:rPr>
        <w:t xml:space="preserve">la </w:t>
      </w:r>
      <w:hyperlink r:id="rId15" w:history="1">
        <w:r w:rsidRPr="00FC7914">
          <w:rPr>
            <w:rStyle w:val="Hyperlink"/>
            <w:rFonts w:ascii="Arial" w:hAnsi="Arial" w:cs="Arial"/>
            <w:sz w:val="22"/>
            <w:szCs w:val="22"/>
          </w:rPr>
          <w:t>résolution</w:t>
        </w:r>
        <w:r w:rsidR="00395712" w:rsidRPr="00FC7914">
          <w:rPr>
            <w:rStyle w:val="Hyperlink"/>
            <w:rFonts w:ascii="Arial" w:hAnsi="Arial" w:cs="Arial"/>
            <w:sz w:val="22"/>
            <w:szCs w:val="22"/>
          </w:rPr>
          <w:t> </w:t>
        </w:r>
        <w:r w:rsidRPr="00FC7914">
          <w:rPr>
            <w:rStyle w:val="Hyperlink"/>
            <w:rFonts w:ascii="Arial" w:hAnsi="Arial" w:cs="Arial"/>
            <w:sz w:val="22"/>
            <w:szCs w:val="22"/>
          </w:rPr>
          <w:t>7</w:t>
        </w:r>
        <w:r w:rsidR="00395712" w:rsidRPr="00FC7914">
          <w:rPr>
            <w:rStyle w:val="Hyperlink"/>
            <w:rFonts w:ascii="Arial" w:hAnsi="Arial" w:cs="Arial"/>
            <w:sz w:val="22"/>
            <w:szCs w:val="22"/>
          </w:rPr>
          <w:t>.</w:t>
        </w:r>
        <w:r w:rsidRPr="00FC7914">
          <w:rPr>
            <w:rStyle w:val="Hyperlink"/>
            <w:rFonts w:ascii="Arial" w:hAnsi="Arial" w:cs="Arial"/>
            <w:sz w:val="22"/>
            <w:szCs w:val="22"/>
          </w:rPr>
          <w:t>GA</w:t>
        </w:r>
        <w:r w:rsidR="00395712" w:rsidRPr="00FC7914">
          <w:rPr>
            <w:rStyle w:val="Hyperlink"/>
            <w:rFonts w:ascii="Arial" w:hAnsi="Arial" w:cs="Arial"/>
            <w:sz w:val="22"/>
            <w:szCs w:val="22"/>
          </w:rPr>
          <w:t> </w:t>
        </w:r>
        <w:r w:rsidRPr="00FC7914">
          <w:rPr>
            <w:rStyle w:val="Hyperlink"/>
            <w:rFonts w:ascii="Arial" w:hAnsi="Arial" w:cs="Arial"/>
            <w:sz w:val="22"/>
            <w:szCs w:val="22"/>
          </w:rPr>
          <w:t>6</w:t>
        </w:r>
      </w:hyperlink>
      <w:r w:rsidRPr="00FC7914">
        <w:rPr>
          <w:rFonts w:ascii="Arial" w:hAnsi="Arial" w:cs="Arial"/>
          <w:sz w:val="22"/>
          <w:szCs w:val="22"/>
        </w:rPr>
        <w:t>,</w:t>
      </w:r>
    </w:p>
    <w:p w14:paraId="730F5830" w14:textId="339DBB24" w:rsidR="00E1680D" w:rsidRPr="00E1680D" w:rsidRDefault="005842C3" w:rsidP="003C2124">
      <w:pPr>
        <w:pStyle w:val="ListParagraph"/>
        <w:numPr>
          <w:ilvl w:val="0"/>
          <w:numId w:val="54"/>
        </w:numPr>
        <w:spacing w:before="120" w:after="120"/>
        <w:ind w:left="1134" w:hanging="567"/>
        <w:contextualSpacing w:val="0"/>
        <w:jc w:val="both"/>
        <w:rPr>
          <w:rFonts w:ascii="Arial" w:hAnsi="Arial" w:cs="Arial"/>
          <w:sz w:val="22"/>
          <w:szCs w:val="22"/>
        </w:rPr>
      </w:pPr>
      <w:r>
        <w:rPr>
          <w:rFonts w:ascii="Arial" w:hAnsi="Arial" w:cs="Arial"/>
          <w:sz w:val="22"/>
          <w:szCs w:val="22"/>
          <w:u w:val="single"/>
        </w:rPr>
        <w:lastRenderedPageBreak/>
        <w:t>F</w:t>
      </w:r>
      <w:r w:rsidR="00E1680D" w:rsidRPr="00FC7914">
        <w:rPr>
          <w:rFonts w:ascii="Arial" w:hAnsi="Arial" w:cs="Arial"/>
          <w:sz w:val="22"/>
          <w:szCs w:val="22"/>
          <w:u w:val="single"/>
        </w:rPr>
        <w:t>élicite</w:t>
      </w:r>
      <w:r w:rsidR="00E1680D" w:rsidRPr="00E1680D">
        <w:rPr>
          <w:rFonts w:ascii="Arial" w:hAnsi="Arial" w:cs="Arial"/>
          <w:sz w:val="22"/>
          <w:szCs w:val="22"/>
        </w:rPr>
        <w:t xml:space="preserve"> </w:t>
      </w:r>
      <w:r w:rsidR="009B67F9">
        <w:rPr>
          <w:rFonts w:ascii="Arial" w:hAnsi="Arial" w:cs="Arial"/>
          <w:sz w:val="22"/>
          <w:szCs w:val="22"/>
        </w:rPr>
        <w:t>le</w:t>
      </w:r>
      <w:r w:rsidR="00E1680D" w:rsidRPr="00E1680D">
        <w:rPr>
          <w:rFonts w:ascii="Arial" w:hAnsi="Arial" w:cs="Arial"/>
          <w:sz w:val="22"/>
          <w:szCs w:val="22"/>
        </w:rPr>
        <w:t xml:space="preserve"> groupe de travail informel </w:t>
      </w:r>
      <w:r w:rsidR="003C2124" w:rsidRPr="00E1680D">
        <w:rPr>
          <w:rFonts w:ascii="Arial" w:hAnsi="Arial" w:cs="Arial"/>
          <w:sz w:val="22"/>
          <w:szCs w:val="22"/>
        </w:rPr>
        <w:t xml:space="preserve">ad hoc </w:t>
      </w:r>
      <w:r w:rsidR="00E1680D" w:rsidRPr="00E1680D">
        <w:rPr>
          <w:rFonts w:ascii="Arial" w:hAnsi="Arial" w:cs="Arial"/>
          <w:sz w:val="22"/>
          <w:szCs w:val="22"/>
        </w:rPr>
        <w:t>à composition non limitée présidé par l</w:t>
      </w:r>
      <w:r w:rsidR="00DD43FF">
        <w:rPr>
          <w:rFonts w:ascii="Arial" w:hAnsi="Arial" w:cs="Arial"/>
          <w:sz w:val="22"/>
          <w:szCs w:val="22"/>
        </w:rPr>
        <w:t>’</w:t>
      </w:r>
      <w:r w:rsidR="00E1680D" w:rsidRPr="00E1680D">
        <w:rPr>
          <w:rFonts w:ascii="Arial" w:hAnsi="Arial" w:cs="Arial"/>
          <w:sz w:val="22"/>
          <w:szCs w:val="22"/>
        </w:rPr>
        <w:t>Algérie et les Philippines</w:t>
      </w:r>
      <w:r w:rsidR="009B67F9">
        <w:rPr>
          <w:rFonts w:ascii="Arial" w:hAnsi="Arial" w:cs="Arial"/>
          <w:sz w:val="22"/>
          <w:szCs w:val="22"/>
        </w:rPr>
        <w:t xml:space="preserve"> pour ses travaux</w:t>
      </w:r>
      <w:r w:rsidR="00E1680D" w:rsidRPr="00E1680D">
        <w:rPr>
          <w:rFonts w:ascii="Arial" w:hAnsi="Arial" w:cs="Arial"/>
          <w:sz w:val="22"/>
          <w:szCs w:val="22"/>
        </w:rPr>
        <w:t xml:space="preserve"> et </w:t>
      </w:r>
      <w:r w:rsidR="009B67F9">
        <w:rPr>
          <w:rFonts w:ascii="Arial" w:hAnsi="Arial" w:cs="Arial"/>
          <w:sz w:val="22"/>
          <w:szCs w:val="22"/>
          <w:u w:val="single"/>
        </w:rPr>
        <w:t>accueille avec satisfaction</w:t>
      </w:r>
      <w:r w:rsidRPr="00FC7914">
        <w:rPr>
          <w:rFonts w:ascii="Arial" w:hAnsi="Arial" w:cs="Arial"/>
          <w:sz w:val="22"/>
          <w:szCs w:val="22"/>
        </w:rPr>
        <w:t xml:space="preserve"> </w:t>
      </w:r>
      <w:r w:rsidR="00E1680D" w:rsidRPr="00E1680D">
        <w:rPr>
          <w:rFonts w:ascii="Arial" w:hAnsi="Arial" w:cs="Arial"/>
          <w:sz w:val="22"/>
          <w:szCs w:val="22"/>
        </w:rPr>
        <w:t>son rapport</w:t>
      </w:r>
      <w:r w:rsidR="00395712">
        <w:rPr>
          <w:rFonts w:ascii="Arial" w:hAnsi="Arial" w:cs="Arial"/>
          <w:sz w:val="22"/>
          <w:szCs w:val="22"/>
        </w:rPr>
        <w:t> </w:t>
      </w:r>
      <w:r w:rsidR="00E1680D" w:rsidRPr="00E1680D">
        <w:rPr>
          <w:rFonts w:ascii="Arial" w:hAnsi="Arial" w:cs="Arial"/>
          <w:sz w:val="22"/>
          <w:szCs w:val="22"/>
        </w:rPr>
        <w:t>;</w:t>
      </w:r>
    </w:p>
    <w:p w14:paraId="2EB7170F" w14:textId="27F8E6EA" w:rsidR="00E1680D" w:rsidRPr="00E1680D" w:rsidRDefault="00370CAA" w:rsidP="00370CAA">
      <w:pPr>
        <w:pStyle w:val="ListParagraph"/>
        <w:numPr>
          <w:ilvl w:val="0"/>
          <w:numId w:val="54"/>
        </w:numPr>
        <w:spacing w:before="120" w:after="120"/>
        <w:ind w:left="1134" w:hanging="567"/>
        <w:contextualSpacing w:val="0"/>
        <w:jc w:val="both"/>
        <w:rPr>
          <w:rFonts w:ascii="Arial" w:hAnsi="Arial" w:cs="Arial"/>
          <w:sz w:val="22"/>
          <w:szCs w:val="22"/>
        </w:rPr>
      </w:pPr>
      <w:r>
        <w:rPr>
          <w:rFonts w:ascii="Arial" w:hAnsi="Arial" w:cs="Arial"/>
          <w:sz w:val="22"/>
          <w:szCs w:val="22"/>
          <w:u w:val="single"/>
        </w:rPr>
        <w:t>Soutient</w:t>
      </w:r>
      <w:r w:rsidR="009B67F9" w:rsidRPr="00E1680D">
        <w:rPr>
          <w:rFonts w:ascii="Arial" w:hAnsi="Arial" w:cs="Arial"/>
          <w:sz w:val="22"/>
          <w:szCs w:val="22"/>
        </w:rPr>
        <w:t xml:space="preserve"> </w:t>
      </w:r>
      <w:r w:rsidR="009B67F9">
        <w:rPr>
          <w:rFonts w:ascii="Arial" w:hAnsi="Arial" w:cs="Arial"/>
          <w:sz w:val="22"/>
          <w:szCs w:val="22"/>
        </w:rPr>
        <w:t>les</w:t>
      </w:r>
      <w:r w:rsidR="009B67F9" w:rsidRPr="00E1680D">
        <w:rPr>
          <w:rFonts w:ascii="Arial" w:hAnsi="Arial" w:cs="Arial"/>
          <w:sz w:val="22"/>
          <w:szCs w:val="22"/>
        </w:rPr>
        <w:t xml:space="preserve"> </w:t>
      </w:r>
      <w:r w:rsidR="00E1680D" w:rsidRPr="00E1680D">
        <w:rPr>
          <w:rFonts w:ascii="Arial" w:hAnsi="Arial" w:cs="Arial"/>
          <w:sz w:val="22"/>
          <w:szCs w:val="22"/>
        </w:rPr>
        <w:t xml:space="preserve">recommandations du groupe de travail informel </w:t>
      </w:r>
      <w:r w:rsidR="003C2124">
        <w:rPr>
          <w:rFonts w:ascii="Arial" w:hAnsi="Arial" w:cs="Arial"/>
          <w:sz w:val="22"/>
          <w:szCs w:val="22"/>
        </w:rPr>
        <w:t xml:space="preserve">ad hoc </w:t>
      </w:r>
      <w:r w:rsidR="00E1680D" w:rsidRPr="00E1680D">
        <w:rPr>
          <w:rFonts w:ascii="Arial" w:hAnsi="Arial" w:cs="Arial"/>
          <w:sz w:val="22"/>
          <w:szCs w:val="22"/>
        </w:rPr>
        <w:t>figurant dans l</w:t>
      </w:r>
      <w:r w:rsidR="00DD43FF">
        <w:rPr>
          <w:rFonts w:ascii="Arial" w:hAnsi="Arial" w:cs="Arial"/>
          <w:sz w:val="22"/>
          <w:szCs w:val="22"/>
        </w:rPr>
        <w:t>’</w:t>
      </w:r>
      <w:r w:rsidR="00E1680D" w:rsidRPr="00E1680D">
        <w:rPr>
          <w:rFonts w:ascii="Arial" w:hAnsi="Arial" w:cs="Arial"/>
          <w:sz w:val="22"/>
          <w:szCs w:val="22"/>
        </w:rPr>
        <w:t>annexe du document ITH/18/13.COM/16</w:t>
      </w:r>
      <w:r w:rsidR="00395712">
        <w:rPr>
          <w:rFonts w:ascii="Arial" w:hAnsi="Arial" w:cs="Arial"/>
          <w:sz w:val="22"/>
          <w:szCs w:val="22"/>
        </w:rPr>
        <w:t> </w:t>
      </w:r>
      <w:r w:rsidR="00E1680D" w:rsidRPr="00E1680D">
        <w:rPr>
          <w:rFonts w:ascii="Arial" w:hAnsi="Arial" w:cs="Arial"/>
          <w:sz w:val="22"/>
          <w:szCs w:val="22"/>
        </w:rPr>
        <w:t>;</w:t>
      </w:r>
    </w:p>
    <w:p w14:paraId="40FC6A66" w14:textId="595A225A" w:rsidR="00E1680D" w:rsidRPr="00E1680D" w:rsidRDefault="00E1680D" w:rsidP="003C2124">
      <w:pPr>
        <w:pStyle w:val="ListParagraph"/>
        <w:numPr>
          <w:ilvl w:val="0"/>
          <w:numId w:val="54"/>
        </w:numPr>
        <w:spacing w:before="120" w:after="120"/>
        <w:ind w:left="1134" w:hanging="567"/>
        <w:contextualSpacing w:val="0"/>
        <w:jc w:val="both"/>
        <w:rPr>
          <w:rFonts w:ascii="Arial" w:hAnsi="Arial" w:cs="Arial"/>
          <w:sz w:val="22"/>
          <w:szCs w:val="22"/>
        </w:rPr>
      </w:pPr>
      <w:r w:rsidRPr="00FC7914">
        <w:rPr>
          <w:rFonts w:ascii="Arial" w:hAnsi="Arial" w:cs="Arial"/>
          <w:sz w:val="22"/>
          <w:szCs w:val="22"/>
          <w:u w:val="single"/>
        </w:rPr>
        <w:t>Encourage</w:t>
      </w:r>
      <w:r w:rsidRPr="00E1680D">
        <w:rPr>
          <w:rFonts w:ascii="Arial" w:hAnsi="Arial" w:cs="Arial"/>
          <w:sz w:val="22"/>
          <w:szCs w:val="22"/>
        </w:rPr>
        <w:t xml:space="preserve"> les États parties à prendre en compte les recommandations du groupe de travail informel </w:t>
      </w:r>
      <w:r w:rsidR="003C2124" w:rsidRPr="00E1680D">
        <w:rPr>
          <w:rFonts w:ascii="Arial" w:hAnsi="Arial" w:cs="Arial"/>
          <w:sz w:val="22"/>
          <w:szCs w:val="22"/>
        </w:rPr>
        <w:t xml:space="preserve">ad hoc </w:t>
      </w:r>
      <w:r w:rsidRPr="00E1680D">
        <w:rPr>
          <w:rFonts w:ascii="Arial" w:hAnsi="Arial" w:cs="Arial"/>
          <w:sz w:val="22"/>
          <w:szCs w:val="22"/>
        </w:rPr>
        <w:t xml:space="preserve">en vue de renforcer la mobilisation des ressources pour la Convention de 2003 et de promouvoir le suivi de la </w:t>
      </w:r>
      <w:hyperlink r:id="rId16" w:history="1">
        <w:r w:rsidRPr="005842C3">
          <w:rPr>
            <w:rStyle w:val="Hyperlink"/>
            <w:rFonts w:ascii="Arial" w:hAnsi="Arial" w:cs="Arial"/>
            <w:sz w:val="22"/>
            <w:szCs w:val="22"/>
          </w:rPr>
          <w:t>résolution 39 C/87</w:t>
        </w:r>
      </w:hyperlink>
      <w:r w:rsidRPr="00E1680D">
        <w:rPr>
          <w:rFonts w:ascii="Arial" w:hAnsi="Arial" w:cs="Arial"/>
          <w:sz w:val="22"/>
          <w:szCs w:val="22"/>
        </w:rPr>
        <w:t xml:space="preserve"> de la Conférence générale</w:t>
      </w:r>
      <w:r w:rsidR="00395712">
        <w:rPr>
          <w:rFonts w:ascii="Arial" w:hAnsi="Arial" w:cs="Arial"/>
          <w:sz w:val="22"/>
          <w:szCs w:val="22"/>
        </w:rPr>
        <w:t> </w:t>
      </w:r>
      <w:r w:rsidRPr="00E1680D">
        <w:rPr>
          <w:rFonts w:ascii="Arial" w:hAnsi="Arial" w:cs="Arial"/>
          <w:sz w:val="22"/>
          <w:szCs w:val="22"/>
        </w:rPr>
        <w:t>;</w:t>
      </w:r>
    </w:p>
    <w:p w14:paraId="2E8A9DA1" w14:textId="3E0EBD54" w:rsidR="00E1680D" w:rsidRPr="00E1680D" w:rsidRDefault="00FD7007" w:rsidP="00FD7007">
      <w:pPr>
        <w:pStyle w:val="ListParagraph"/>
        <w:numPr>
          <w:ilvl w:val="0"/>
          <w:numId w:val="54"/>
        </w:numPr>
        <w:spacing w:before="120" w:after="120"/>
        <w:ind w:left="1134" w:hanging="567"/>
        <w:contextualSpacing w:val="0"/>
        <w:jc w:val="both"/>
        <w:rPr>
          <w:rFonts w:ascii="Arial" w:hAnsi="Arial" w:cs="Arial"/>
          <w:sz w:val="22"/>
          <w:szCs w:val="22"/>
        </w:rPr>
      </w:pPr>
      <w:r>
        <w:rPr>
          <w:rFonts w:ascii="Arial" w:hAnsi="Arial" w:cs="Arial"/>
          <w:sz w:val="22"/>
          <w:szCs w:val="22"/>
          <w:u w:val="single"/>
        </w:rPr>
        <w:t>Prie</w:t>
      </w:r>
      <w:r w:rsidR="006318D3" w:rsidRPr="00E1680D">
        <w:rPr>
          <w:rFonts w:ascii="Arial" w:hAnsi="Arial" w:cs="Arial"/>
          <w:sz w:val="22"/>
          <w:szCs w:val="22"/>
        </w:rPr>
        <w:t xml:space="preserve"> </w:t>
      </w:r>
      <w:r>
        <w:rPr>
          <w:rFonts w:ascii="Arial" w:hAnsi="Arial" w:cs="Arial"/>
          <w:sz w:val="22"/>
          <w:szCs w:val="22"/>
        </w:rPr>
        <w:t>le</w:t>
      </w:r>
      <w:r w:rsidR="00E1680D" w:rsidRPr="00E1680D">
        <w:rPr>
          <w:rFonts w:ascii="Arial" w:hAnsi="Arial" w:cs="Arial"/>
          <w:sz w:val="22"/>
          <w:szCs w:val="22"/>
        </w:rPr>
        <w:t xml:space="preserve"> Secrétariat de mettre en œuvre, le cas échéant, les recommandations pertinentes du groupe de travail informel</w:t>
      </w:r>
      <w:r w:rsidR="003C2124">
        <w:rPr>
          <w:rFonts w:ascii="Arial" w:hAnsi="Arial" w:cs="Arial"/>
          <w:sz w:val="22"/>
          <w:szCs w:val="22"/>
        </w:rPr>
        <w:t xml:space="preserve"> </w:t>
      </w:r>
      <w:r w:rsidR="003C2124" w:rsidRPr="00E1680D">
        <w:rPr>
          <w:rFonts w:ascii="Arial" w:hAnsi="Arial" w:cs="Arial"/>
          <w:sz w:val="22"/>
          <w:szCs w:val="22"/>
        </w:rPr>
        <w:t>ad hoc</w:t>
      </w:r>
      <w:r w:rsidR="003C2124">
        <w:rPr>
          <w:rFonts w:ascii="Arial" w:hAnsi="Arial" w:cs="Arial"/>
          <w:sz w:val="22"/>
          <w:szCs w:val="22"/>
        </w:rPr>
        <w:t> ;</w:t>
      </w:r>
    </w:p>
    <w:p w14:paraId="16CDE369" w14:textId="47FBCF42" w:rsidR="00E1680D" w:rsidRPr="00E1680D" w:rsidRDefault="00E1680D" w:rsidP="00305636">
      <w:pPr>
        <w:pStyle w:val="ListParagraph"/>
        <w:numPr>
          <w:ilvl w:val="0"/>
          <w:numId w:val="54"/>
        </w:numPr>
        <w:spacing w:before="120" w:after="120"/>
        <w:ind w:left="1134" w:hanging="567"/>
        <w:contextualSpacing w:val="0"/>
        <w:jc w:val="both"/>
        <w:rPr>
          <w:rFonts w:ascii="Arial" w:hAnsi="Arial" w:cs="Arial"/>
          <w:sz w:val="22"/>
          <w:szCs w:val="22"/>
        </w:rPr>
      </w:pPr>
      <w:r w:rsidRPr="00FC7914">
        <w:rPr>
          <w:rFonts w:ascii="Arial" w:hAnsi="Arial" w:cs="Arial"/>
          <w:sz w:val="22"/>
          <w:szCs w:val="22"/>
          <w:u w:val="single"/>
        </w:rPr>
        <w:t>Décide</w:t>
      </w:r>
      <w:r w:rsidRPr="00E1680D">
        <w:rPr>
          <w:rFonts w:ascii="Arial" w:hAnsi="Arial" w:cs="Arial"/>
          <w:sz w:val="22"/>
          <w:szCs w:val="22"/>
        </w:rPr>
        <w:t xml:space="preserve"> d</w:t>
      </w:r>
      <w:r w:rsidR="00DD43FF">
        <w:rPr>
          <w:rFonts w:ascii="Arial" w:hAnsi="Arial" w:cs="Arial"/>
          <w:sz w:val="22"/>
          <w:szCs w:val="22"/>
        </w:rPr>
        <w:t>’</w:t>
      </w:r>
      <w:r w:rsidRPr="00E1680D">
        <w:rPr>
          <w:rFonts w:ascii="Arial" w:hAnsi="Arial" w:cs="Arial"/>
          <w:sz w:val="22"/>
          <w:szCs w:val="22"/>
        </w:rPr>
        <w:t xml:space="preserve">étendre le mandat du groupe de travail informel </w:t>
      </w:r>
      <w:r w:rsidR="003C2124" w:rsidRPr="00E1680D">
        <w:rPr>
          <w:rFonts w:ascii="Arial" w:hAnsi="Arial" w:cs="Arial"/>
          <w:sz w:val="22"/>
          <w:szCs w:val="22"/>
        </w:rPr>
        <w:t xml:space="preserve">ad hoc </w:t>
      </w:r>
      <w:r w:rsidRPr="00E1680D">
        <w:rPr>
          <w:rFonts w:ascii="Arial" w:hAnsi="Arial" w:cs="Arial"/>
          <w:sz w:val="22"/>
          <w:szCs w:val="22"/>
        </w:rPr>
        <w:t>pour</w:t>
      </w:r>
      <w:r w:rsidR="00395712">
        <w:rPr>
          <w:rFonts w:ascii="Arial" w:hAnsi="Arial" w:cs="Arial"/>
          <w:sz w:val="22"/>
          <w:szCs w:val="22"/>
        </w:rPr>
        <w:t> </w:t>
      </w:r>
      <w:r w:rsidRPr="00E1680D">
        <w:rPr>
          <w:rFonts w:ascii="Arial" w:hAnsi="Arial" w:cs="Arial"/>
          <w:sz w:val="22"/>
          <w:szCs w:val="22"/>
        </w:rPr>
        <w:t>:</w:t>
      </w:r>
    </w:p>
    <w:p w14:paraId="7399F647" w14:textId="1839F6C8" w:rsidR="00E1680D" w:rsidRPr="00E1680D" w:rsidRDefault="00395712" w:rsidP="003C2124">
      <w:pPr>
        <w:pStyle w:val="ListParagraph"/>
        <w:numPr>
          <w:ilvl w:val="1"/>
          <w:numId w:val="54"/>
        </w:numPr>
        <w:spacing w:before="120" w:after="120"/>
        <w:ind w:left="1701" w:hanging="567"/>
        <w:contextualSpacing w:val="0"/>
        <w:jc w:val="both"/>
        <w:rPr>
          <w:rFonts w:ascii="Arial" w:hAnsi="Arial" w:cs="Arial"/>
          <w:sz w:val="22"/>
          <w:szCs w:val="22"/>
        </w:rPr>
      </w:pPr>
      <w:proofErr w:type="gramStart"/>
      <w:r>
        <w:rPr>
          <w:rFonts w:ascii="Arial" w:hAnsi="Arial" w:cs="Arial"/>
          <w:sz w:val="22"/>
          <w:szCs w:val="22"/>
        </w:rPr>
        <w:t>c</w:t>
      </w:r>
      <w:r w:rsidR="00E1680D" w:rsidRPr="00E1680D">
        <w:rPr>
          <w:rFonts w:ascii="Arial" w:hAnsi="Arial" w:cs="Arial"/>
          <w:sz w:val="22"/>
          <w:szCs w:val="22"/>
        </w:rPr>
        <w:t>ontinuer</w:t>
      </w:r>
      <w:proofErr w:type="gramEnd"/>
      <w:r w:rsidR="00E1680D" w:rsidRPr="00E1680D">
        <w:rPr>
          <w:rFonts w:ascii="Arial" w:hAnsi="Arial" w:cs="Arial"/>
          <w:sz w:val="22"/>
          <w:szCs w:val="22"/>
        </w:rPr>
        <w:t xml:space="preserve"> à réfléchir à un mécanisme de dialogue approprié pour renforcer la transparence et la crédibilité du processus d</w:t>
      </w:r>
      <w:r w:rsidR="00DD43FF">
        <w:rPr>
          <w:rFonts w:ascii="Arial" w:hAnsi="Arial" w:cs="Arial"/>
          <w:sz w:val="22"/>
          <w:szCs w:val="22"/>
        </w:rPr>
        <w:t>’</w:t>
      </w:r>
      <w:r w:rsidR="00E1680D" w:rsidRPr="00E1680D">
        <w:rPr>
          <w:rFonts w:ascii="Arial" w:hAnsi="Arial" w:cs="Arial"/>
          <w:sz w:val="22"/>
          <w:szCs w:val="22"/>
        </w:rPr>
        <w:t>évaluation, en consultation avec l</w:t>
      </w:r>
      <w:r w:rsidR="00DD43FF">
        <w:rPr>
          <w:rFonts w:ascii="Arial" w:hAnsi="Arial" w:cs="Arial"/>
          <w:sz w:val="22"/>
          <w:szCs w:val="22"/>
        </w:rPr>
        <w:t>’</w:t>
      </w:r>
      <w:r w:rsidR="009B67F9">
        <w:rPr>
          <w:rFonts w:ascii="Arial" w:hAnsi="Arial" w:cs="Arial"/>
          <w:sz w:val="22"/>
          <w:szCs w:val="22"/>
        </w:rPr>
        <w:t>O</w:t>
      </w:r>
      <w:r w:rsidR="00E1680D" w:rsidRPr="00E1680D">
        <w:rPr>
          <w:rFonts w:ascii="Arial" w:hAnsi="Arial" w:cs="Arial"/>
          <w:sz w:val="22"/>
          <w:szCs w:val="22"/>
        </w:rPr>
        <w:t>rgane d</w:t>
      </w:r>
      <w:r w:rsidR="00DD43FF">
        <w:rPr>
          <w:rFonts w:ascii="Arial" w:hAnsi="Arial" w:cs="Arial"/>
          <w:sz w:val="22"/>
          <w:szCs w:val="22"/>
        </w:rPr>
        <w:t>’</w:t>
      </w:r>
      <w:r w:rsidR="00E1680D" w:rsidRPr="00E1680D">
        <w:rPr>
          <w:rFonts w:ascii="Arial" w:hAnsi="Arial" w:cs="Arial"/>
          <w:sz w:val="22"/>
          <w:szCs w:val="22"/>
        </w:rPr>
        <w:t>évaluation</w:t>
      </w:r>
      <w:r w:rsidR="005842C3">
        <w:rPr>
          <w:rFonts w:ascii="Arial" w:hAnsi="Arial" w:cs="Arial"/>
          <w:sz w:val="22"/>
          <w:szCs w:val="22"/>
        </w:rPr>
        <w:t> ;</w:t>
      </w:r>
      <w:r w:rsidR="00E1680D" w:rsidRPr="00E1680D">
        <w:rPr>
          <w:rFonts w:ascii="Arial" w:hAnsi="Arial" w:cs="Arial"/>
          <w:sz w:val="22"/>
          <w:szCs w:val="22"/>
        </w:rPr>
        <w:t xml:space="preserve"> et</w:t>
      </w:r>
    </w:p>
    <w:p w14:paraId="7489F867" w14:textId="2CAD0452" w:rsidR="00E1680D" w:rsidRPr="00E1680D" w:rsidRDefault="00395712" w:rsidP="00395712">
      <w:pPr>
        <w:pStyle w:val="ListParagraph"/>
        <w:numPr>
          <w:ilvl w:val="1"/>
          <w:numId w:val="54"/>
        </w:numPr>
        <w:spacing w:before="120" w:after="120"/>
        <w:ind w:left="1701" w:hanging="567"/>
        <w:contextualSpacing w:val="0"/>
        <w:jc w:val="both"/>
        <w:rPr>
          <w:rFonts w:ascii="Arial" w:hAnsi="Arial" w:cs="Arial"/>
          <w:sz w:val="22"/>
          <w:szCs w:val="22"/>
        </w:rPr>
      </w:pPr>
      <w:proofErr w:type="gramStart"/>
      <w:r>
        <w:rPr>
          <w:rFonts w:ascii="Arial" w:hAnsi="Arial" w:cs="Arial"/>
          <w:sz w:val="22"/>
          <w:szCs w:val="22"/>
        </w:rPr>
        <w:t>p</w:t>
      </w:r>
      <w:r w:rsidR="00E1680D" w:rsidRPr="00E1680D">
        <w:rPr>
          <w:rFonts w:ascii="Arial" w:hAnsi="Arial" w:cs="Arial"/>
          <w:sz w:val="22"/>
          <w:szCs w:val="22"/>
        </w:rPr>
        <w:t>oursuivre</w:t>
      </w:r>
      <w:proofErr w:type="gramEnd"/>
      <w:r w:rsidR="00E1680D" w:rsidRPr="00E1680D">
        <w:rPr>
          <w:rFonts w:ascii="Arial" w:hAnsi="Arial" w:cs="Arial"/>
          <w:sz w:val="22"/>
          <w:szCs w:val="22"/>
        </w:rPr>
        <w:t xml:space="preserve"> le processus de consultation avec les ONG accréditées sur les moyens de renforcer davantage la participation des ONG à la Convention de 2003 et sur la manière dont cela serait reflété dans les mécanismes d</w:t>
      </w:r>
      <w:r w:rsidR="00DD43FF">
        <w:rPr>
          <w:rFonts w:ascii="Arial" w:hAnsi="Arial" w:cs="Arial"/>
          <w:sz w:val="22"/>
          <w:szCs w:val="22"/>
        </w:rPr>
        <w:t>’</w:t>
      </w:r>
      <w:r w:rsidR="00E1680D" w:rsidRPr="00E1680D">
        <w:rPr>
          <w:rFonts w:ascii="Arial" w:hAnsi="Arial" w:cs="Arial"/>
          <w:sz w:val="22"/>
          <w:szCs w:val="22"/>
        </w:rPr>
        <w:t>accréditation et de renouvellement des ONG</w:t>
      </w:r>
      <w:r w:rsidR="005842C3">
        <w:rPr>
          <w:rFonts w:ascii="Arial" w:hAnsi="Arial" w:cs="Arial"/>
          <w:sz w:val="22"/>
          <w:szCs w:val="22"/>
        </w:rPr>
        <w:t> ;</w:t>
      </w:r>
    </w:p>
    <w:p w14:paraId="6C0B75EF" w14:textId="7A534383" w:rsidR="00E1680D" w:rsidRPr="00E1680D" w:rsidRDefault="00E1680D">
      <w:pPr>
        <w:pStyle w:val="ListParagraph"/>
        <w:numPr>
          <w:ilvl w:val="0"/>
          <w:numId w:val="54"/>
        </w:numPr>
        <w:spacing w:before="120" w:after="120"/>
        <w:ind w:left="1134" w:hanging="567"/>
        <w:contextualSpacing w:val="0"/>
        <w:jc w:val="both"/>
        <w:rPr>
          <w:rFonts w:ascii="Arial" w:hAnsi="Arial" w:cs="Arial"/>
          <w:sz w:val="22"/>
          <w:szCs w:val="22"/>
        </w:rPr>
      </w:pPr>
      <w:proofErr w:type="gramStart"/>
      <w:r w:rsidRPr="00FC7914">
        <w:rPr>
          <w:rFonts w:ascii="Arial" w:hAnsi="Arial" w:cs="Arial"/>
          <w:sz w:val="22"/>
          <w:szCs w:val="22"/>
          <w:u w:val="single"/>
        </w:rPr>
        <w:t>Décide en</w:t>
      </w:r>
      <w:proofErr w:type="gramEnd"/>
      <w:r w:rsidRPr="00FC7914">
        <w:rPr>
          <w:rFonts w:ascii="Arial" w:hAnsi="Arial" w:cs="Arial"/>
          <w:sz w:val="22"/>
          <w:szCs w:val="22"/>
          <w:u w:val="single"/>
        </w:rPr>
        <w:t xml:space="preserve"> outre</w:t>
      </w:r>
      <w:r w:rsidRPr="00E1680D">
        <w:rPr>
          <w:rFonts w:ascii="Arial" w:hAnsi="Arial" w:cs="Arial"/>
          <w:sz w:val="22"/>
          <w:szCs w:val="22"/>
        </w:rPr>
        <w:t xml:space="preserve"> d</w:t>
      </w:r>
      <w:r w:rsidR="00DD43FF">
        <w:rPr>
          <w:rFonts w:ascii="Arial" w:hAnsi="Arial" w:cs="Arial"/>
          <w:sz w:val="22"/>
          <w:szCs w:val="22"/>
        </w:rPr>
        <w:t>’</w:t>
      </w:r>
      <w:r w:rsidRPr="00E1680D">
        <w:rPr>
          <w:rFonts w:ascii="Arial" w:hAnsi="Arial" w:cs="Arial"/>
          <w:sz w:val="22"/>
          <w:szCs w:val="22"/>
        </w:rPr>
        <w:t xml:space="preserve">examiner cette question à sa </w:t>
      </w:r>
      <w:r w:rsidR="00395712">
        <w:rPr>
          <w:rFonts w:ascii="Arial" w:hAnsi="Arial" w:cs="Arial"/>
          <w:sz w:val="22"/>
          <w:szCs w:val="22"/>
        </w:rPr>
        <w:t>quatorzième</w:t>
      </w:r>
      <w:r w:rsidR="00395712" w:rsidRPr="00E1680D">
        <w:rPr>
          <w:rFonts w:ascii="Arial" w:hAnsi="Arial" w:cs="Arial"/>
          <w:sz w:val="22"/>
          <w:szCs w:val="22"/>
        </w:rPr>
        <w:t xml:space="preserve"> </w:t>
      </w:r>
      <w:r w:rsidRPr="00E1680D">
        <w:rPr>
          <w:rFonts w:ascii="Arial" w:hAnsi="Arial" w:cs="Arial"/>
          <w:sz w:val="22"/>
          <w:szCs w:val="22"/>
        </w:rPr>
        <w:t>session en 2019.</w:t>
      </w:r>
    </w:p>
    <w:p w14:paraId="2C38BAD8" w14:textId="77777777" w:rsidR="00C121C6" w:rsidRPr="00E1680D" w:rsidRDefault="00C121C6" w:rsidP="00E20259">
      <w:pPr>
        <w:pStyle w:val="COMParaDecision"/>
        <w:rPr>
          <w:lang w:val="fr-FR"/>
        </w:rPr>
      </w:pPr>
      <w:r w:rsidRPr="00E1680D">
        <w:rPr>
          <w:lang w:val="fr-FR"/>
        </w:rPr>
        <w:br w:type="page"/>
      </w:r>
    </w:p>
    <w:p w14:paraId="0FFA12A7" w14:textId="29DB912E" w:rsidR="00C121C6" w:rsidRPr="00FC7914" w:rsidRDefault="00D42475" w:rsidP="00D42475">
      <w:pPr>
        <w:pStyle w:val="COMParaDecision"/>
        <w:numPr>
          <w:ilvl w:val="0"/>
          <w:numId w:val="0"/>
        </w:numPr>
        <w:jc w:val="center"/>
        <w:rPr>
          <w:b/>
          <w:lang w:val="fr-FR"/>
        </w:rPr>
      </w:pPr>
      <w:r w:rsidRPr="00FC7914">
        <w:rPr>
          <w:b/>
          <w:lang w:val="fr-FR"/>
        </w:rPr>
        <w:lastRenderedPageBreak/>
        <w:t>ANNEXE</w:t>
      </w:r>
    </w:p>
    <w:p w14:paraId="675D5525" w14:textId="5ADA317D" w:rsidR="00D42475" w:rsidRDefault="00D42475" w:rsidP="00FD11E5">
      <w:pPr>
        <w:pStyle w:val="COMParaDecision"/>
        <w:numPr>
          <w:ilvl w:val="0"/>
          <w:numId w:val="0"/>
        </w:numPr>
        <w:spacing w:before="240" w:after="240"/>
        <w:jc w:val="center"/>
        <w:rPr>
          <w:b/>
          <w:bCs/>
          <w:szCs w:val="20"/>
          <w:u w:val="none"/>
          <w:lang w:val="fr-FR"/>
        </w:rPr>
      </w:pPr>
      <w:r w:rsidRPr="00D42475">
        <w:rPr>
          <w:b/>
          <w:bCs/>
          <w:szCs w:val="20"/>
          <w:u w:val="none"/>
          <w:lang w:val="fr-FR"/>
        </w:rPr>
        <w:t xml:space="preserve">Rapport des Coprésidents du Groupe de travail </w:t>
      </w:r>
      <w:r>
        <w:rPr>
          <w:b/>
          <w:bCs/>
          <w:szCs w:val="20"/>
          <w:u w:val="none"/>
          <w:lang w:val="fr-FR"/>
        </w:rPr>
        <w:t xml:space="preserve">du </w:t>
      </w:r>
      <w:r>
        <w:rPr>
          <w:b/>
          <w:bCs/>
          <w:szCs w:val="20"/>
          <w:u w:val="none"/>
          <w:lang w:val="fr-FR"/>
        </w:rPr>
        <w:br/>
      </w:r>
      <w:r w:rsidRPr="00D42475">
        <w:rPr>
          <w:b/>
          <w:bCs/>
          <w:szCs w:val="20"/>
          <w:u w:val="none"/>
          <w:lang w:val="fr-FR"/>
        </w:rPr>
        <w:t>Comité pour la sauvegarde du patrimoine culturel immatériel (PCI)</w:t>
      </w:r>
    </w:p>
    <w:p w14:paraId="7FA96AF0" w14:textId="60A292E6" w:rsidR="00D42475" w:rsidRPr="00D42475" w:rsidRDefault="00D42475" w:rsidP="00D42475">
      <w:pPr>
        <w:pStyle w:val="COMParaDecision"/>
        <w:numPr>
          <w:ilvl w:val="0"/>
          <w:numId w:val="0"/>
        </w:numPr>
        <w:jc w:val="center"/>
        <w:rPr>
          <w:b/>
          <w:bCs/>
          <w:u w:val="none"/>
          <w:lang w:val="fr-FR"/>
        </w:rPr>
      </w:pPr>
      <w:r w:rsidRPr="00D42475">
        <w:rPr>
          <w:b/>
          <w:bCs/>
          <w:u w:val="none"/>
          <w:lang w:val="fr-FR"/>
        </w:rPr>
        <w:t>13 Com</w:t>
      </w:r>
    </w:p>
    <w:p w14:paraId="5EC9E33F" w14:textId="51878FC2" w:rsidR="00D42475" w:rsidRPr="00D42475" w:rsidRDefault="00D42475" w:rsidP="00D42475">
      <w:pPr>
        <w:pStyle w:val="ListParagraph"/>
        <w:numPr>
          <w:ilvl w:val="0"/>
          <w:numId w:val="52"/>
        </w:numPr>
        <w:spacing w:before="120" w:after="120"/>
        <w:ind w:left="567" w:hanging="567"/>
        <w:contextualSpacing w:val="0"/>
        <w:jc w:val="both"/>
        <w:rPr>
          <w:rFonts w:ascii="Arial" w:hAnsi="Arial" w:cs="Arial"/>
          <w:sz w:val="22"/>
          <w:szCs w:val="22"/>
        </w:rPr>
      </w:pPr>
      <w:r w:rsidRPr="00D42475">
        <w:rPr>
          <w:rFonts w:ascii="Arial" w:hAnsi="Arial" w:cs="Arial"/>
          <w:sz w:val="22"/>
          <w:szCs w:val="22"/>
        </w:rPr>
        <w:t>Groupe de travail ad-hoc informel à composition non limitée du Comité intergouvernemental pour la sauvegarde du patrimoine culturel immatériel (PCI), s</w:t>
      </w:r>
      <w:r w:rsidR="00DD43FF">
        <w:rPr>
          <w:rFonts w:ascii="Arial" w:hAnsi="Arial" w:cs="Arial"/>
          <w:sz w:val="22"/>
          <w:szCs w:val="22"/>
        </w:rPr>
        <w:t>’</w:t>
      </w:r>
      <w:r w:rsidRPr="00D42475">
        <w:rPr>
          <w:rFonts w:ascii="Arial" w:hAnsi="Arial" w:cs="Arial"/>
          <w:sz w:val="22"/>
          <w:szCs w:val="22"/>
        </w:rPr>
        <w:t>est réuni trois fois au cours de cette année, aux mois d</w:t>
      </w:r>
      <w:r w:rsidR="00DD43FF">
        <w:rPr>
          <w:rFonts w:ascii="Arial" w:hAnsi="Arial" w:cs="Arial"/>
          <w:sz w:val="22"/>
          <w:szCs w:val="22"/>
        </w:rPr>
        <w:t>’</w:t>
      </w:r>
      <w:r w:rsidRPr="00D42475">
        <w:rPr>
          <w:rFonts w:ascii="Arial" w:hAnsi="Arial" w:cs="Arial"/>
          <w:sz w:val="22"/>
          <w:szCs w:val="22"/>
        </w:rPr>
        <w:t xml:space="preserve">avril, mai et septembre. Ce groupe a été constitué par le Comité du PCI lors du 11 COM tenu en Ethiopie, à Addis-Abeba en 2016, et reconduit lors du 12 COM, tenu en République de </w:t>
      </w:r>
      <w:r>
        <w:rPr>
          <w:rFonts w:ascii="Arial" w:hAnsi="Arial" w:cs="Arial"/>
          <w:sz w:val="22"/>
          <w:szCs w:val="22"/>
        </w:rPr>
        <w:t xml:space="preserve">Corée, à </w:t>
      </w:r>
      <w:proofErr w:type="spellStart"/>
      <w:r>
        <w:rPr>
          <w:rFonts w:ascii="Arial" w:hAnsi="Arial" w:cs="Arial"/>
          <w:sz w:val="22"/>
          <w:szCs w:val="22"/>
        </w:rPr>
        <w:t>Jeju</w:t>
      </w:r>
      <w:proofErr w:type="spellEnd"/>
      <w:r>
        <w:rPr>
          <w:rFonts w:ascii="Arial" w:hAnsi="Arial" w:cs="Arial"/>
          <w:sz w:val="22"/>
          <w:szCs w:val="22"/>
        </w:rPr>
        <w:t xml:space="preserve"> en novembre 2017.</w:t>
      </w:r>
    </w:p>
    <w:p w14:paraId="021FDF8D" w14:textId="470D9908" w:rsidR="00D42475" w:rsidRPr="00D42475" w:rsidRDefault="00D42475" w:rsidP="00D42475">
      <w:pPr>
        <w:pStyle w:val="ListParagraph"/>
        <w:numPr>
          <w:ilvl w:val="0"/>
          <w:numId w:val="52"/>
        </w:numPr>
        <w:spacing w:before="120" w:after="120"/>
        <w:ind w:left="567" w:hanging="567"/>
        <w:contextualSpacing w:val="0"/>
        <w:jc w:val="both"/>
        <w:rPr>
          <w:rFonts w:ascii="Arial" w:hAnsi="Arial" w:cs="Arial"/>
          <w:sz w:val="22"/>
          <w:szCs w:val="22"/>
        </w:rPr>
      </w:pPr>
      <w:r w:rsidRPr="00D42475">
        <w:rPr>
          <w:rFonts w:ascii="Arial" w:hAnsi="Arial" w:cs="Arial"/>
          <w:sz w:val="22"/>
          <w:szCs w:val="22"/>
        </w:rPr>
        <w:t>Le Président du Comité, en consultation avec le bureau, a demandé à l</w:t>
      </w:r>
      <w:r w:rsidR="00DD43FF">
        <w:rPr>
          <w:rFonts w:ascii="Arial" w:hAnsi="Arial" w:cs="Arial"/>
          <w:sz w:val="22"/>
          <w:szCs w:val="22"/>
        </w:rPr>
        <w:t>’</w:t>
      </w:r>
      <w:r w:rsidRPr="00D42475">
        <w:rPr>
          <w:rFonts w:ascii="Arial" w:hAnsi="Arial" w:cs="Arial"/>
          <w:sz w:val="22"/>
          <w:szCs w:val="22"/>
        </w:rPr>
        <w:t>Algérie et aux Philippines de coprésider le groupe de travail ad hoc. Les coprésidents souhaitent remercier le Président pour sa confiance et le secrétariat pour son soutien tout au long de l</w:t>
      </w:r>
      <w:r w:rsidR="00DD43FF">
        <w:rPr>
          <w:rFonts w:ascii="Arial" w:hAnsi="Arial" w:cs="Arial"/>
          <w:sz w:val="22"/>
          <w:szCs w:val="22"/>
        </w:rPr>
        <w:t>’</w:t>
      </w:r>
      <w:r w:rsidRPr="00D42475">
        <w:rPr>
          <w:rFonts w:ascii="Arial" w:hAnsi="Arial" w:cs="Arial"/>
          <w:sz w:val="22"/>
          <w:szCs w:val="22"/>
        </w:rPr>
        <w:t>année.</w:t>
      </w:r>
    </w:p>
    <w:p w14:paraId="1BCFDAC6" w14:textId="64AACF7B" w:rsidR="00D42475" w:rsidRPr="00D42475" w:rsidRDefault="00D42475" w:rsidP="00D02860">
      <w:pPr>
        <w:pStyle w:val="ListParagraph"/>
        <w:numPr>
          <w:ilvl w:val="0"/>
          <w:numId w:val="52"/>
        </w:numPr>
        <w:spacing w:before="120" w:after="120"/>
        <w:ind w:left="567" w:hanging="567"/>
        <w:contextualSpacing w:val="0"/>
        <w:jc w:val="both"/>
        <w:rPr>
          <w:rFonts w:ascii="Arial" w:hAnsi="Arial" w:cs="Arial"/>
          <w:sz w:val="22"/>
          <w:szCs w:val="22"/>
        </w:rPr>
      </w:pPr>
      <w:r w:rsidRPr="00D42475">
        <w:rPr>
          <w:rFonts w:ascii="Arial" w:hAnsi="Arial" w:cs="Arial"/>
          <w:sz w:val="22"/>
          <w:szCs w:val="22"/>
        </w:rPr>
        <w:t xml:space="preserve">Au cours des trois réunions, le groupe de travail ad hoc a examiné tous les points relevant de sa compétence tels que décrits dans la </w:t>
      </w:r>
      <w:hyperlink r:id="rId17" w:history="1">
        <w:r w:rsidRPr="00D02860">
          <w:rPr>
            <w:rStyle w:val="Hyperlink"/>
            <w:rFonts w:ascii="Arial" w:hAnsi="Arial" w:cs="Arial"/>
            <w:sz w:val="22"/>
            <w:szCs w:val="22"/>
          </w:rPr>
          <w:t>décision 12</w:t>
        </w:r>
        <w:r w:rsidR="00D02860" w:rsidRPr="00D02860">
          <w:rPr>
            <w:rStyle w:val="Hyperlink"/>
            <w:rFonts w:ascii="Arial" w:hAnsi="Arial" w:cs="Arial"/>
            <w:sz w:val="22"/>
            <w:szCs w:val="22"/>
          </w:rPr>
          <w:t>.</w:t>
        </w:r>
        <w:r w:rsidRPr="00D02860">
          <w:rPr>
            <w:rStyle w:val="Hyperlink"/>
            <w:rFonts w:ascii="Arial" w:hAnsi="Arial" w:cs="Arial"/>
            <w:sz w:val="22"/>
            <w:szCs w:val="22"/>
          </w:rPr>
          <w:t>COM</w:t>
        </w:r>
        <w:r w:rsidR="00D02860" w:rsidRPr="00D02860">
          <w:rPr>
            <w:rStyle w:val="Hyperlink"/>
            <w:rFonts w:ascii="Arial" w:hAnsi="Arial" w:cs="Arial"/>
            <w:sz w:val="22"/>
            <w:szCs w:val="22"/>
          </w:rPr>
          <w:t> </w:t>
        </w:r>
        <w:r w:rsidRPr="00D02860">
          <w:rPr>
            <w:rStyle w:val="Hyperlink"/>
            <w:rFonts w:ascii="Arial" w:hAnsi="Arial" w:cs="Arial"/>
            <w:sz w:val="22"/>
            <w:szCs w:val="22"/>
          </w:rPr>
          <w:t>13</w:t>
        </w:r>
      </w:hyperlink>
      <w:r w:rsidRPr="00D42475">
        <w:rPr>
          <w:rFonts w:ascii="Arial" w:hAnsi="Arial" w:cs="Arial"/>
          <w:sz w:val="22"/>
          <w:szCs w:val="22"/>
        </w:rPr>
        <w:t xml:space="preserve"> du Comité. De nombreuses délégations permanentes d</w:t>
      </w:r>
      <w:r w:rsidR="00DD43FF">
        <w:rPr>
          <w:rFonts w:ascii="Arial" w:hAnsi="Arial" w:cs="Arial"/>
          <w:sz w:val="22"/>
          <w:szCs w:val="22"/>
        </w:rPr>
        <w:t>’</w:t>
      </w:r>
      <w:r w:rsidRPr="00D42475">
        <w:rPr>
          <w:rFonts w:ascii="Arial" w:hAnsi="Arial" w:cs="Arial"/>
          <w:sz w:val="22"/>
          <w:szCs w:val="22"/>
        </w:rPr>
        <w:t>États parties à la Convention de 2003 ont pris la parole pour exprimer leur attachement à la Convention et leur souhait de voir les méthodes de travail du Comité s</w:t>
      </w:r>
      <w:r w:rsidR="00DD43FF">
        <w:rPr>
          <w:rFonts w:ascii="Arial" w:hAnsi="Arial" w:cs="Arial"/>
          <w:sz w:val="22"/>
          <w:szCs w:val="22"/>
        </w:rPr>
        <w:t>’</w:t>
      </w:r>
      <w:r w:rsidRPr="00D42475">
        <w:rPr>
          <w:rFonts w:ascii="Arial" w:hAnsi="Arial" w:cs="Arial"/>
          <w:sz w:val="22"/>
          <w:szCs w:val="22"/>
        </w:rPr>
        <w:t>améliorer, notamment en ce qui concerne l</w:t>
      </w:r>
      <w:r w:rsidR="00DD43FF">
        <w:rPr>
          <w:rFonts w:ascii="Arial" w:hAnsi="Arial" w:cs="Arial"/>
          <w:sz w:val="22"/>
          <w:szCs w:val="22"/>
        </w:rPr>
        <w:t>’</w:t>
      </w:r>
      <w:r w:rsidRPr="00D42475">
        <w:rPr>
          <w:rFonts w:ascii="Arial" w:hAnsi="Arial" w:cs="Arial"/>
          <w:sz w:val="22"/>
          <w:szCs w:val="22"/>
        </w:rPr>
        <w:t>inscription d</w:t>
      </w:r>
      <w:r w:rsidR="00DD43FF">
        <w:rPr>
          <w:rFonts w:ascii="Arial" w:hAnsi="Arial" w:cs="Arial"/>
          <w:sz w:val="22"/>
          <w:szCs w:val="22"/>
        </w:rPr>
        <w:t>’</w:t>
      </w:r>
      <w:r w:rsidRPr="00D42475">
        <w:rPr>
          <w:rFonts w:ascii="Arial" w:hAnsi="Arial" w:cs="Arial"/>
          <w:sz w:val="22"/>
          <w:szCs w:val="22"/>
        </w:rPr>
        <w:t>éléments sur la Liste représentative du patrimoine mondial, la coopération avec l</w:t>
      </w:r>
      <w:r w:rsidR="00DD43FF">
        <w:rPr>
          <w:rFonts w:ascii="Arial" w:hAnsi="Arial" w:cs="Arial"/>
          <w:sz w:val="22"/>
          <w:szCs w:val="22"/>
        </w:rPr>
        <w:t>’</w:t>
      </w:r>
      <w:r w:rsidRPr="00D42475">
        <w:rPr>
          <w:rFonts w:ascii="Arial" w:hAnsi="Arial" w:cs="Arial"/>
          <w:sz w:val="22"/>
          <w:szCs w:val="22"/>
        </w:rPr>
        <w:t>Organe d</w:t>
      </w:r>
      <w:r w:rsidR="00DD43FF">
        <w:rPr>
          <w:rFonts w:ascii="Arial" w:hAnsi="Arial" w:cs="Arial"/>
          <w:sz w:val="22"/>
          <w:szCs w:val="22"/>
        </w:rPr>
        <w:t>’</w:t>
      </w:r>
      <w:r w:rsidRPr="00D42475">
        <w:rPr>
          <w:rFonts w:ascii="Arial" w:hAnsi="Arial" w:cs="Arial"/>
          <w:sz w:val="22"/>
          <w:szCs w:val="22"/>
        </w:rPr>
        <w:t>évaluation, le transfert d</w:t>
      </w:r>
      <w:r w:rsidR="00DD43FF">
        <w:rPr>
          <w:rFonts w:ascii="Arial" w:hAnsi="Arial" w:cs="Arial"/>
          <w:sz w:val="22"/>
          <w:szCs w:val="22"/>
        </w:rPr>
        <w:t>’</w:t>
      </w:r>
      <w:r w:rsidRPr="00D42475">
        <w:rPr>
          <w:rFonts w:ascii="Arial" w:hAnsi="Arial" w:cs="Arial"/>
          <w:sz w:val="22"/>
          <w:szCs w:val="22"/>
        </w:rPr>
        <w:t>une Liste à une autre ainsi que la nature des Listes.</w:t>
      </w:r>
    </w:p>
    <w:p w14:paraId="10089A67" w14:textId="7560726B" w:rsidR="00D42475" w:rsidRPr="00D42475" w:rsidRDefault="00D42475" w:rsidP="00D42475">
      <w:pPr>
        <w:spacing w:before="120" w:after="120"/>
        <w:jc w:val="both"/>
        <w:rPr>
          <w:rFonts w:ascii="Arial" w:hAnsi="Arial" w:cs="Arial"/>
          <w:b/>
          <w:sz w:val="22"/>
          <w:szCs w:val="22"/>
        </w:rPr>
      </w:pPr>
      <w:r w:rsidRPr="00D42475">
        <w:rPr>
          <w:rFonts w:ascii="Arial" w:hAnsi="Arial" w:cs="Arial"/>
          <w:b/>
          <w:sz w:val="22"/>
          <w:szCs w:val="22"/>
        </w:rPr>
        <w:t>Mécanisme de financement de la Convention, y compri</w:t>
      </w:r>
      <w:r>
        <w:rPr>
          <w:rFonts w:ascii="Arial" w:hAnsi="Arial" w:cs="Arial"/>
          <w:b/>
          <w:sz w:val="22"/>
          <w:szCs w:val="22"/>
        </w:rPr>
        <w:t>s la mobilisation de ressources</w:t>
      </w:r>
    </w:p>
    <w:p w14:paraId="35181BF0" w14:textId="0B4F42A4" w:rsidR="00D42475" w:rsidRPr="00D42475" w:rsidRDefault="00D42475" w:rsidP="00D42475">
      <w:pPr>
        <w:pStyle w:val="ListParagraph"/>
        <w:numPr>
          <w:ilvl w:val="0"/>
          <w:numId w:val="52"/>
        </w:numPr>
        <w:spacing w:before="120" w:after="120"/>
        <w:ind w:left="567" w:hanging="567"/>
        <w:contextualSpacing w:val="0"/>
        <w:jc w:val="both"/>
        <w:rPr>
          <w:rFonts w:ascii="Arial" w:hAnsi="Arial" w:cs="Arial"/>
          <w:sz w:val="22"/>
          <w:szCs w:val="22"/>
        </w:rPr>
      </w:pPr>
      <w:r w:rsidRPr="00D42475">
        <w:rPr>
          <w:rFonts w:ascii="Arial" w:hAnsi="Arial" w:cs="Arial"/>
          <w:sz w:val="22"/>
          <w:szCs w:val="22"/>
        </w:rPr>
        <w:t>En ce qui concerne la situation financière, les contributions statutaires ont servi à maintenir la stabilité du Fonds du patrimoine culturel immatériel. Néanmoins, le groupe de travail ad hoc a noté que l</w:t>
      </w:r>
      <w:r w:rsidR="00DD43FF">
        <w:rPr>
          <w:rFonts w:ascii="Arial" w:hAnsi="Arial" w:cs="Arial"/>
          <w:sz w:val="22"/>
          <w:szCs w:val="22"/>
        </w:rPr>
        <w:t>’</w:t>
      </w:r>
      <w:r w:rsidRPr="00D42475">
        <w:rPr>
          <w:rFonts w:ascii="Arial" w:hAnsi="Arial" w:cs="Arial"/>
          <w:sz w:val="22"/>
          <w:szCs w:val="22"/>
        </w:rPr>
        <w:t>une des questions clés était de savoir comment augmenter les contributions volontaires, en particulier pour le renforcement des capacités du Secrétariat, des États parties et des communautés. Cet aspect dépendait principalement des contributions volontaires, qui ont fortement diminué, et seul un petit nombre d</w:t>
      </w:r>
      <w:r w:rsidR="00DD43FF">
        <w:rPr>
          <w:rFonts w:ascii="Arial" w:hAnsi="Arial" w:cs="Arial"/>
          <w:sz w:val="22"/>
          <w:szCs w:val="22"/>
        </w:rPr>
        <w:t>’</w:t>
      </w:r>
      <w:r w:rsidRPr="00D42475">
        <w:rPr>
          <w:rFonts w:ascii="Arial" w:hAnsi="Arial" w:cs="Arial"/>
          <w:sz w:val="22"/>
          <w:szCs w:val="22"/>
        </w:rPr>
        <w:t>États parties versent de telles contributions à l</w:t>
      </w:r>
      <w:r w:rsidR="00DD43FF">
        <w:rPr>
          <w:rFonts w:ascii="Arial" w:hAnsi="Arial" w:cs="Arial"/>
          <w:sz w:val="22"/>
          <w:szCs w:val="22"/>
        </w:rPr>
        <w:t>’</w:t>
      </w:r>
      <w:r w:rsidRPr="00D42475">
        <w:rPr>
          <w:rFonts w:ascii="Arial" w:hAnsi="Arial" w:cs="Arial"/>
          <w:sz w:val="22"/>
          <w:szCs w:val="22"/>
        </w:rPr>
        <w:t>heure actuelle.</w:t>
      </w:r>
    </w:p>
    <w:p w14:paraId="78F49AB4" w14:textId="50073496" w:rsidR="00D42475" w:rsidRPr="00D42475" w:rsidRDefault="00D42475" w:rsidP="00D42475">
      <w:pPr>
        <w:pStyle w:val="ListParagraph"/>
        <w:numPr>
          <w:ilvl w:val="0"/>
          <w:numId w:val="52"/>
        </w:numPr>
        <w:spacing w:before="120" w:after="120"/>
        <w:ind w:left="567" w:hanging="567"/>
        <w:contextualSpacing w:val="0"/>
        <w:jc w:val="both"/>
        <w:rPr>
          <w:rFonts w:ascii="Arial" w:hAnsi="Arial" w:cs="Arial"/>
          <w:sz w:val="22"/>
          <w:szCs w:val="22"/>
        </w:rPr>
      </w:pPr>
      <w:r w:rsidRPr="00D42475">
        <w:rPr>
          <w:rFonts w:ascii="Arial" w:hAnsi="Arial" w:cs="Arial"/>
          <w:sz w:val="22"/>
          <w:szCs w:val="22"/>
        </w:rPr>
        <w:t>Cette situation contraste avec l</w:t>
      </w:r>
      <w:r w:rsidR="00DD43FF">
        <w:rPr>
          <w:rFonts w:ascii="Arial" w:hAnsi="Arial" w:cs="Arial"/>
          <w:sz w:val="22"/>
          <w:szCs w:val="22"/>
        </w:rPr>
        <w:t>’</w:t>
      </w:r>
      <w:r w:rsidRPr="00D42475">
        <w:rPr>
          <w:rFonts w:ascii="Arial" w:hAnsi="Arial" w:cs="Arial"/>
          <w:sz w:val="22"/>
          <w:szCs w:val="22"/>
        </w:rPr>
        <w:t>engouement croissant pour le PCI avec des ratifications rapprochant la Convention d</w:t>
      </w:r>
      <w:r w:rsidR="00DD43FF">
        <w:rPr>
          <w:rFonts w:ascii="Arial" w:hAnsi="Arial" w:cs="Arial"/>
          <w:sz w:val="22"/>
          <w:szCs w:val="22"/>
        </w:rPr>
        <w:t>’</w:t>
      </w:r>
      <w:r w:rsidRPr="00D42475">
        <w:rPr>
          <w:rFonts w:ascii="Arial" w:hAnsi="Arial" w:cs="Arial"/>
          <w:sz w:val="22"/>
          <w:szCs w:val="22"/>
        </w:rPr>
        <w:t>un niveau presque universel, ce qui engendre une demande plus élevée que jamais pour l</w:t>
      </w:r>
      <w:r w:rsidR="00DD43FF">
        <w:rPr>
          <w:rFonts w:ascii="Arial" w:hAnsi="Arial" w:cs="Arial"/>
          <w:sz w:val="22"/>
          <w:szCs w:val="22"/>
        </w:rPr>
        <w:t>’</w:t>
      </w:r>
      <w:r w:rsidRPr="00D42475">
        <w:rPr>
          <w:rFonts w:ascii="Arial" w:hAnsi="Arial" w:cs="Arial"/>
          <w:sz w:val="22"/>
          <w:szCs w:val="22"/>
        </w:rPr>
        <w:t>aide du Secrétariat et de la sauvegarde du PCI en général.</w:t>
      </w:r>
    </w:p>
    <w:p w14:paraId="5ADFE765" w14:textId="120D43B7" w:rsidR="00D42475" w:rsidRPr="00D42475" w:rsidRDefault="00D42475" w:rsidP="00D42475">
      <w:pPr>
        <w:pStyle w:val="ListParagraph"/>
        <w:numPr>
          <w:ilvl w:val="0"/>
          <w:numId w:val="52"/>
        </w:numPr>
        <w:spacing w:before="120" w:after="120"/>
        <w:ind w:left="567" w:hanging="567"/>
        <w:contextualSpacing w:val="0"/>
        <w:jc w:val="both"/>
        <w:rPr>
          <w:rFonts w:ascii="Arial" w:hAnsi="Arial" w:cs="Arial"/>
          <w:sz w:val="22"/>
          <w:szCs w:val="22"/>
        </w:rPr>
      </w:pPr>
      <w:r w:rsidRPr="00D42475">
        <w:rPr>
          <w:rFonts w:ascii="Arial" w:hAnsi="Arial" w:cs="Arial"/>
          <w:sz w:val="22"/>
          <w:szCs w:val="22"/>
        </w:rPr>
        <w:t>Il a été suggéré que le plan de communication en cours d</w:t>
      </w:r>
      <w:r w:rsidR="00DD43FF">
        <w:rPr>
          <w:rFonts w:ascii="Arial" w:hAnsi="Arial" w:cs="Arial"/>
          <w:sz w:val="22"/>
          <w:szCs w:val="22"/>
        </w:rPr>
        <w:t>’</w:t>
      </w:r>
      <w:r w:rsidRPr="00D42475">
        <w:rPr>
          <w:rFonts w:ascii="Arial" w:hAnsi="Arial" w:cs="Arial"/>
          <w:sz w:val="22"/>
          <w:szCs w:val="22"/>
        </w:rPr>
        <w:t>élaboration pour la Convention de 2003 vise spécifiquement les donateurs. Des échanges de bonnes pratiques et enseignements tirés de la Convention du patrimoine mondial de 1972 et d</w:t>
      </w:r>
      <w:r w:rsidR="00DD43FF">
        <w:rPr>
          <w:rFonts w:ascii="Arial" w:hAnsi="Arial" w:cs="Arial"/>
          <w:sz w:val="22"/>
          <w:szCs w:val="22"/>
        </w:rPr>
        <w:t>’</w:t>
      </w:r>
      <w:r w:rsidRPr="00D42475">
        <w:rPr>
          <w:rFonts w:ascii="Arial" w:hAnsi="Arial" w:cs="Arial"/>
          <w:sz w:val="22"/>
          <w:szCs w:val="22"/>
        </w:rPr>
        <w:t>autres conventions culturelles sur la mobilisation des ressources seraient également utiles. De même pour le cadre de résultats global proposé qui pourrait être un outil de collecte de fonds tout en renforçant la sensibilisation des partie</w:t>
      </w:r>
      <w:r w:rsidR="00D02860">
        <w:rPr>
          <w:rFonts w:ascii="Arial" w:hAnsi="Arial" w:cs="Arial"/>
          <w:sz w:val="22"/>
          <w:szCs w:val="22"/>
        </w:rPr>
        <w:t>s prenantes au niveau national.</w:t>
      </w:r>
    </w:p>
    <w:p w14:paraId="5ABCFF35" w14:textId="17F9AA48" w:rsidR="00D42475" w:rsidRPr="00D42475" w:rsidRDefault="00D42475" w:rsidP="00D42475">
      <w:pPr>
        <w:pStyle w:val="ListParagraph"/>
        <w:numPr>
          <w:ilvl w:val="0"/>
          <w:numId w:val="52"/>
        </w:numPr>
        <w:spacing w:before="120" w:after="120"/>
        <w:ind w:left="567" w:hanging="567"/>
        <w:contextualSpacing w:val="0"/>
        <w:jc w:val="both"/>
        <w:rPr>
          <w:rFonts w:ascii="Arial" w:hAnsi="Arial" w:cs="Arial"/>
          <w:sz w:val="22"/>
          <w:szCs w:val="22"/>
        </w:rPr>
      </w:pPr>
      <w:r w:rsidRPr="00D42475">
        <w:rPr>
          <w:rFonts w:ascii="Arial" w:hAnsi="Arial" w:cs="Arial"/>
          <w:sz w:val="22"/>
          <w:szCs w:val="22"/>
        </w:rPr>
        <w:t>Une autre initiative pourrait être l</w:t>
      </w:r>
      <w:r w:rsidR="00DD43FF">
        <w:rPr>
          <w:rFonts w:ascii="Arial" w:hAnsi="Arial" w:cs="Arial"/>
          <w:sz w:val="22"/>
          <w:szCs w:val="22"/>
        </w:rPr>
        <w:t>’</w:t>
      </w:r>
      <w:r w:rsidRPr="00D42475">
        <w:rPr>
          <w:rFonts w:ascii="Arial" w:hAnsi="Arial" w:cs="Arial"/>
          <w:sz w:val="22"/>
          <w:szCs w:val="22"/>
        </w:rPr>
        <w:t>organisation d</w:t>
      </w:r>
      <w:r w:rsidR="00DD43FF">
        <w:rPr>
          <w:rFonts w:ascii="Arial" w:hAnsi="Arial" w:cs="Arial"/>
          <w:sz w:val="22"/>
          <w:szCs w:val="22"/>
        </w:rPr>
        <w:t>’</w:t>
      </w:r>
      <w:r w:rsidRPr="00D42475">
        <w:rPr>
          <w:rFonts w:ascii="Arial" w:hAnsi="Arial" w:cs="Arial"/>
          <w:sz w:val="22"/>
          <w:szCs w:val="22"/>
        </w:rPr>
        <w:t>événements de collecte de fonds en marge des sessions du Comité et / ou de l</w:t>
      </w:r>
      <w:r w:rsidR="00DD43FF">
        <w:rPr>
          <w:rFonts w:ascii="Arial" w:hAnsi="Arial" w:cs="Arial"/>
          <w:sz w:val="22"/>
          <w:szCs w:val="22"/>
        </w:rPr>
        <w:t>’</w:t>
      </w:r>
      <w:r w:rsidRPr="00D42475">
        <w:rPr>
          <w:rFonts w:ascii="Arial" w:hAnsi="Arial" w:cs="Arial"/>
          <w:sz w:val="22"/>
          <w:szCs w:val="22"/>
        </w:rPr>
        <w:t>Assemblée générale, en coopération avec les pays hôtes et éventuellement un groupe informel des Amis du PCI composé des États parties intéressés.</w:t>
      </w:r>
    </w:p>
    <w:p w14:paraId="593EE555" w14:textId="6BB570A8" w:rsidR="00D42475" w:rsidRPr="00D42475" w:rsidRDefault="00D42475" w:rsidP="00D42475">
      <w:pPr>
        <w:spacing w:before="120" w:after="120"/>
        <w:jc w:val="both"/>
        <w:rPr>
          <w:rFonts w:ascii="Arial" w:hAnsi="Arial" w:cs="Arial"/>
          <w:b/>
          <w:sz w:val="22"/>
          <w:szCs w:val="22"/>
        </w:rPr>
      </w:pPr>
      <w:r w:rsidRPr="00D42475">
        <w:rPr>
          <w:rFonts w:ascii="Arial" w:hAnsi="Arial" w:cs="Arial"/>
          <w:b/>
          <w:sz w:val="22"/>
          <w:szCs w:val="22"/>
        </w:rPr>
        <w:t>Mise en œuvre des recommandations pertinentes du Groupe de travail à composition non limitée sur la gouvernance, les procédures et les méthodes de travail des organes directeurs de l</w:t>
      </w:r>
      <w:r w:rsidR="00DD43FF">
        <w:rPr>
          <w:rFonts w:ascii="Arial" w:hAnsi="Arial" w:cs="Arial"/>
          <w:b/>
          <w:sz w:val="22"/>
          <w:szCs w:val="22"/>
        </w:rPr>
        <w:t>’</w:t>
      </w:r>
      <w:r w:rsidRPr="00D42475">
        <w:rPr>
          <w:rFonts w:ascii="Arial" w:hAnsi="Arial" w:cs="Arial"/>
          <w:b/>
          <w:sz w:val="22"/>
          <w:szCs w:val="22"/>
        </w:rPr>
        <w:t>UNESCO, adoptées à la 39</w:t>
      </w:r>
      <w:r w:rsidRPr="00D42475">
        <w:rPr>
          <w:rFonts w:ascii="Arial" w:hAnsi="Arial" w:cs="Arial"/>
          <w:b/>
          <w:sz w:val="22"/>
          <w:szCs w:val="22"/>
          <w:vertAlign w:val="superscript"/>
        </w:rPr>
        <w:t>e</w:t>
      </w:r>
      <w:r w:rsidRPr="00D42475">
        <w:rPr>
          <w:rFonts w:ascii="Arial" w:hAnsi="Arial" w:cs="Arial"/>
          <w:b/>
          <w:sz w:val="22"/>
          <w:szCs w:val="22"/>
        </w:rPr>
        <w:t xml:space="preserve"> session de la Conférence générale</w:t>
      </w:r>
    </w:p>
    <w:p w14:paraId="5CF0C46B" w14:textId="37935ADF" w:rsidR="00D42475" w:rsidRPr="00D42475" w:rsidRDefault="00D42475" w:rsidP="00D42475">
      <w:pPr>
        <w:pStyle w:val="ListParagraph"/>
        <w:numPr>
          <w:ilvl w:val="0"/>
          <w:numId w:val="52"/>
        </w:numPr>
        <w:spacing w:before="120" w:after="120"/>
        <w:ind w:left="567" w:hanging="567"/>
        <w:contextualSpacing w:val="0"/>
        <w:jc w:val="both"/>
        <w:rPr>
          <w:rFonts w:ascii="Arial" w:hAnsi="Arial" w:cs="Arial"/>
          <w:sz w:val="22"/>
          <w:szCs w:val="22"/>
        </w:rPr>
      </w:pPr>
      <w:r w:rsidRPr="00D42475">
        <w:rPr>
          <w:rFonts w:ascii="Arial" w:hAnsi="Arial" w:cs="Arial"/>
          <w:sz w:val="22"/>
          <w:szCs w:val="22"/>
        </w:rPr>
        <w:t>À ce sujet, le groupe de travail ad hoc a noté des progrès satisfaisants dans la mise en œuvre des recommandations pertinentes de la Conférence générale. Cette décision a été validée par l</w:t>
      </w:r>
      <w:r w:rsidR="00DD43FF">
        <w:rPr>
          <w:rFonts w:ascii="Arial" w:hAnsi="Arial" w:cs="Arial"/>
          <w:sz w:val="22"/>
          <w:szCs w:val="22"/>
        </w:rPr>
        <w:t>’</w:t>
      </w:r>
      <w:r w:rsidRPr="00D42475">
        <w:rPr>
          <w:rFonts w:ascii="Arial" w:hAnsi="Arial" w:cs="Arial"/>
          <w:sz w:val="22"/>
          <w:szCs w:val="22"/>
        </w:rPr>
        <w:t>Assemblée générale dans sa décision en la matière.</w:t>
      </w:r>
    </w:p>
    <w:p w14:paraId="1BAC3535" w14:textId="12DBF8C2" w:rsidR="00D42475" w:rsidRPr="00D42475" w:rsidRDefault="00D42475" w:rsidP="00D42475">
      <w:pPr>
        <w:pStyle w:val="ListParagraph"/>
        <w:numPr>
          <w:ilvl w:val="0"/>
          <w:numId w:val="52"/>
        </w:numPr>
        <w:spacing w:before="120" w:after="120"/>
        <w:ind w:left="567" w:hanging="567"/>
        <w:contextualSpacing w:val="0"/>
        <w:jc w:val="both"/>
        <w:rPr>
          <w:rFonts w:ascii="Arial" w:hAnsi="Arial" w:cs="Arial"/>
          <w:sz w:val="22"/>
          <w:szCs w:val="22"/>
        </w:rPr>
      </w:pPr>
      <w:r w:rsidRPr="00D42475">
        <w:rPr>
          <w:rFonts w:ascii="Arial" w:hAnsi="Arial" w:cs="Arial"/>
          <w:sz w:val="22"/>
          <w:szCs w:val="22"/>
        </w:rPr>
        <w:t>Le groupe de travail ad hoc a mis en exergue les recommandations générales et spécifiques du Groupe de travail sur la gouvernance approuvée par la 39</w:t>
      </w:r>
      <w:r w:rsidRPr="00D42475">
        <w:rPr>
          <w:rFonts w:ascii="Arial" w:hAnsi="Arial" w:cs="Arial"/>
          <w:sz w:val="22"/>
          <w:szCs w:val="22"/>
          <w:vertAlign w:val="superscript"/>
        </w:rPr>
        <w:t>e</w:t>
      </w:r>
      <w:r w:rsidRPr="00D42475">
        <w:rPr>
          <w:rFonts w:ascii="Arial" w:hAnsi="Arial" w:cs="Arial"/>
          <w:sz w:val="22"/>
          <w:szCs w:val="22"/>
        </w:rPr>
        <w:t xml:space="preserve"> session de la Conférence générale de l</w:t>
      </w:r>
      <w:r w:rsidR="00DD43FF">
        <w:rPr>
          <w:rFonts w:ascii="Arial" w:hAnsi="Arial" w:cs="Arial"/>
          <w:sz w:val="22"/>
          <w:szCs w:val="22"/>
        </w:rPr>
        <w:t>’</w:t>
      </w:r>
      <w:r w:rsidRPr="00D42475">
        <w:rPr>
          <w:rFonts w:ascii="Arial" w:hAnsi="Arial" w:cs="Arial"/>
          <w:sz w:val="22"/>
          <w:szCs w:val="22"/>
        </w:rPr>
        <w:t>UNESCO applicable à la Convention de 2003. Certaines d</w:t>
      </w:r>
      <w:r w:rsidR="00DD43FF">
        <w:rPr>
          <w:rFonts w:ascii="Arial" w:hAnsi="Arial" w:cs="Arial"/>
          <w:sz w:val="22"/>
          <w:szCs w:val="22"/>
        </w:rPr>
        <w:t>’</w:t>
      </w:r>
      <w:r w:rsidRPr="00D42475">
        <w:rPr>
          <w:rFonts w:ascii="Arial" w:hAnsi="Arial" w:cs="Arial"/>
          <w:sz w:val="22"/>
          <w:szCs w:val="22"/>
        </w:rPr>
        <w:t>entre elles étaient en relation directe avec la nécessité de réduire et gérer la politisation des candidatures et des décisions ainsi que la nécessité de renforcer la prise de décision et la crédibilité du Comité.</w:t>
      </w:r>
    </w:p>
    <w:p w14:paraId="38820127" w14:textId="5C172EF3" w:rsidR="00D42475" w:rsidRPr="00D42475" w:rsidRDefault="00D42475" w:rsidP="00D42475">
      <w:pPr>
        <w:pStyle w:val="ListParagraph"/>
        <w:numPr>
          <w:ilvl w:val="0"/>
          <w:numId w:val="52"/>
        </w:numPr>
        <w:spacing w:before="120" w:after="120"/>
        <w:ind w:left="567" w:hanging="567"/>
        <w:contextualSpacing w:val="0"/>
        <w:jc w:val="both"/>
        <w:rPr>
          <w:rFonts w:ascii="Arial" w:hAnsi="Arial" w:cs="Arial"/>
          <w:sz w:val="22"/>
          <w:szCs w:val="22"/>
        </w:rPr>
      </w:pPr>
      <w:r w:rsidRPr="00D42475">
        <w:rPr>
          <w:rFonts w:ascii="Arial" w:hAnsi="Arial" w:cs="Arial"/>
          <w:sz w:val="22"/>
          <w:szCs w:val="22"/>
        </w:rPr>
        <w:lastRenderedPageBreak/>
        <w:t>Un certain nombre d</w:t>
      </w:r>
      <w:r w:rsidR="00DD43FF">
        <w:rPr>
          <w:rFonts w:ascii="Arial" w:hAnsi="Arial" w:cs="Arial"/>
          <w:sz w:val="22"/>
          <w:szCs w:val="22"/>
        </w:rPr>
        <w:t>’</w:t>
      </w:r>
      <w:r w:rsidRPr="00D42475">
        <w:rPr>
          <w:rFonts w:ascii="Arial" w:hAnsi="Arial" w:cs="Arial"/>
          <w:sz w:val="22"/>
          <w:szCs w:val="22"/>
        </w:rPr>
        <w:t>États parties ont fait part de leur inquiétude quant à la politisation accrue au sein du Comité et de la polarisation des débats lors de l</w:t>
      </w:r>
      <w:r w:rsidR="00DD43FF">
        <w:rPr>
          <w:rFonts w:ascii="Arial" w:hAnsi="Arial" w:cs="Arial"/>
          <w:sz w:val="22"/>
          <w:szCs w:val="22"/>
        </w:rPr>
        <w:t>’</w:t>
      </w:r>
      <w:r w:rsidRPr="00D42475">
        <w:rPr>
          <w:rFonts w:ascii="Arial" w:hAnsi="Arial" w:cs="Arial"/>
          <w:sz w:val="22"/>
          <w:szCs w:val="22"/>
        </w:rPr>
        <w:t>inscription de certains éléments sur la Liste représentative.</w:t>
      </w:r>
    </w:p>
    <w:p w14:paraId="6E731945" w14:textId="1E4ED9D5" w:rsidR="00D42475" w:rsidRPr="00D42475" w:rsidRDefault="00D42475" w:rsidP="00D42475">
      <w:pPr>
        <w:pStyle w:val="ListParagraph"/>
        <w:spacing w:before="120" w:after="120"/>
        <w:ind w:left="0"/>
        <w:contextualSpacing w:val="0"/>
        <w:jc w:val="both"/>
        <w:rPr>
          <w:rFonts w:ascii="Arial" w:hAnsi="Arial" w:cs="Arial"/>
          <w:sz w:val="22"/>
          <w:szCs w:val="22"/>
        </w:rPr>
      </w:pPr>
      <w:r>
        <w:rPr>
          <w:rFonts w:ascii="Arial" w:hAnsi="Arial" w:cs="Arial"/>
          <w:b/>
          <w:sz w:val="22"/>
          <w:szCs w:val="22"/>
        </w:rPr>
        <w:t>Réflexion sur un mécanisme de « dialogue </w:t>
      </w:r>
      <w:r w:rsidRPr="00D42475">
        <w:rPr>
          <w:rFonts w:ascii="Arial" w:hAnsi="Arial" w:cs="Arial"/>
          <w:b/>
          <w:sz w:val="22"/>
          <w:szCs w:val="22"/>
        </w:rPr>
        <w:t>» approprié, en consultation avec l</w:t>
      </w:r>
      <w:r w:rsidR="00DD43FF">
        <w:rPr>
          <w:rFonts w:ascii="Arial" w:hAnsi="Arial" w:cs="Arial"/>
          <w:b/>
          <w:sz w:val="22"/>
          <w:szCs w:val="22"/>
        </w:rPr>
        <w:t>’</w:t>
      </w:r>
      <w:r w:rsidRPr="00D42475">
        <w:rPr>
          <w:rFonts w:ascii="Arial" w:hAnsi="Arial" w:cs="Arial"/>
          <w:b/>
          <w:sz w:val="22"/>
          <w:szCs w:val="22"/>
        </w:rPr>
        <w:t>organe d</w:t>
      </w:r>
      <w:r w:rsidR="00DD43FF">
        <w:rPr>
          <w:rFonts w:ascii="Arial" w:hAnsi="Arial" w:cs="Arial"/>
          <w:b/>
          <w:sz w:val="22"/>
          <w:szCs w:val="22"/>
        </w:rPr>
        <w:t>’</w:t>
      </w:r>
      <w:r w:rsidRPr="00D42475">
        <w:rPr>
          <w:rFonts w:ascii="Arial" w:hAnsi="Arial" w:cs="Arial"/>
          <w:b/>
          <w:sz w:val="22"/>
          <w:szCs w:val="22"/>
        </w:rPr>
        <w:t>évaluation, en tenant compte des résolutions respectives de l</w:t>
      </w:r>
      <w:r w:rsidR="00DD43FF">
        <w:rPr>
          <w:rFonts w:ascii="Arial" w:hAnsi="Arial" w:cs="Arial"/>
          <w:b/>
          <w:sz w:val="22"/>
          <w:szCs w:val="22"/>
        </w:rPr>
        <w:t>’</w:t>
      </w:r>
      <w:r w:rsidRPr="00D42475">
        <w:rPr>
          <w:rFonts w:ascii="Arial" w:hAnsi="Arial" w:cs="Arial"/>
          <w:b/>
          <w:sz w:val="22"/>
          <w:szCs w:val="22"/>
        </w:rPr>
        <w:t>Assemblée générale</w:t>
      </w:r>
    </w:p>
    <w:p w14:paraId="509D5FAE" w14:textId="028BBE8F" w:rsidR="00D42475" w:rsidRPr="00D42475" w:rsidRDefault="00D42475" w:rsidP="00D42475">
      <w:pPr>
        <w:pStyle w:val="ListParagraph"/>
        <w:numPr>
          <w:ilvl w:val="0"/>
          <w:numId w:val="52"/>
        </w:numPr>
        <w:spacing w:before="120" w:after="120"/>
        <w:ind w:left="567" w:hanging="567"/>
        <w:contextualSpacing w:val="0"/>
        <w:jc w:val="both"/>
        <w:rPr>
          <w:rFonts w:ascii="Arial" w:hAnsi="Arial" w:cs="Arial"/>
          <w:sz w:val="22"/>
          <w:szCs w:val="22"/>
        </w:rPr>
      </w:pPr>
      <w:r w:rsidRPr="00D42475">
        <w:rPr>
          <w:rFonts w:ascii="Arial" w:hAnsi="Arial" w:cs="Arial"/>
          <w:sz w:val="22"/>
          <w:szCs w:val="22"/>
        </w:rPr>
        <w:t>De manière générale, les États membres ont exprimé le souhait de voir le Comité réduire le temps alloué aux inscriptions d</w:t>
      </w:r>
      <w:r w:rsidR="00DD43FF">
        <w:rPr>
          <w:rFonts w:ascii="Arial" w:hAnsi="Arial" w:cs="Arial"/>
          <w:sz w:val="22"/>
          <w:szCs w:val="22"/>
        </w:rPr>
        <w:t>’</w:t>
      </w:r>
      <w:r w:rsidRPr="00D42475">
        <w:rPr>
          <w:rFonts w:ascii="Arial" w:hAnsi="Arial" w:cs="Arial"/>
          <w:sz w:val="22"/>
          <w:szCs w:val="22"/>
        </w:rPr>
        <w:t xml:space="preserve">éléments du patrimoine sur les différentes Listes pour pouvoir se concentrer </w:t>
      </w:r>
      <w:proofErr w:type="gramStart"/>
      <w:r w:rsidRPr="00D42475">
        <w:rPr>
          <w:rFonts w:ascii="Arial" w:hAnsi="Arial" w:cs="Arial"/>
          <w:sz w:val="22"/>
          <w:szCs w:val="22"/>
        </w:rPr>
        <w:t>d</w:t>
      </w:r>
      <w:r w:rsidR="00DD43FF">
        <w:rPr>
          <w:rFonts w:ascii="Arial" w:hAnsi="Arial" w:cs="Arial"/>
          <w:sz w:val="22"/>
          <w:szCs w:val="22"/>
        </w:rPr>
        <w:t>’</w:t>
      </w:r>
      <w:r w:rsidRPr="00D42475">
        <w:rPr>
          <w:rFonts w:ascii="Arial" w:hAnsi="Arial" w:cs="Arial"/>
          <w:sz w:val="22"/>
          <w:szCs w:val="22"/>
        </w:rPr>
        <w:t>avantage</w:t>
      </w:r>
      <w:proofErr w:type="gramEnd"/>
      <w:r w:rsidRPr="00D42475">
        <w:rPr>
          <w:rFonts w:ascii="Arial" w:hAnsi="Arial" w:cs="Arial"/>
          <w:sz w:val="22"/>
          <w:szCs w:val="22"/>
        </w:rPr>
        <w:t xml:space="preserve"> sur la sauvegarde des éléments qui constituent l</w:t>
      </w:r>
      <w:r w:rsidR="00DD43FF">
        <w:rPr>
          <w:rFonts w:ascii="Arial" w:hAnsi="Arial" w:cs="Arial"/>
          <w:sz w:val="22"/>
          <w:szCs w:val="22"/>
        </w:rPr>
        <w:t>’</w:t>
      </w:r>
      <w:r w:rsidRPr="00D42475">
        <w:rPr>
          <w:rFonts w:ascii="Arial" w:hAnsi="Arial" w:cs="Arial"/>
          <w:sz w:val="22"/>
          <w:szCs w:val="22"/>
        </w:rPr>
        <w:t>essence de cette Convention et la raison d</w:t>
      </w:r>
      <w:r w:rsidR="00DD43FF">
        <w:rPr>
          <w:rFonts w:ascii="Arial" w:hAnsi="Arial" w:cs="Arial"/>
          <w:sz w:val="22"/>
          <w:szCs w:val="22"/>
        </w:rPr>
        <w:t>’</w:t>
      </w:r>
      <w:r w:rsidRPr="00D42475">
        <w:rPr>
          <w:rFonts w:ascii="Arial" w:hAnsi="Arial" w:cs="Arial"/>
          <w:sz w:val="22"/>
          <w:szCs w:val="22"/>
        </w:rPr>
        <w:t>être du Comité.</w:t>
      </w:r>
    </w:p>
    <w:p w14:paraId="406C7A8A" w14:textId="305BCB88" w:rsidR="00D42475" w:rsidRPr="00D42475" w:rsidRDefault="00D42475" w:rsidP="00D42475">
      <w:pPr>
        <w:pStyle w:val="ListParagraph"/>
        <w:numPr>
          <w:ilvl w:val="0"/>
          <w:numId w:val="52"/>
        </w:numPr>
        <w:spacing w:before="120" w:after="120"/>
        <w:ind w:left="567" w:hanging="567"/>
        <w:contextualSpacing w:val="0"/>
        <w:jc w:val="both"/>
        <w:rPr>
          <w:rFonts w:ascii="Arial" w:hAnsi="Arial" w:cs="Arial"/>
          <w:sz w:val="22"/>
          <w:szCs w:val="22"/>
        </w:rPr>
      </w:pPr>
      <w:r w:rsidRPr="00D42475">
        <w:rPr>
          <w:rFonts w:ascii="Arial" w:hAnsi="Arial" w:cs="Arial"/>
          <w:sz w:val="22"/>
          <w:szCs w:val="22"/>
        </w:rPr>
        <w:t>De ce fait, une des solutions proposées par les États membres pour éviter de longues discussions pendant le segment des inscriptions au Comité, serait d</w:t>
      </w:r>
      <w:r w:rsidR="00DD43FF">
        <w:rPr>
          <w:rFonts w:ascii="Arial" w:hAnsi="Arial" w:cs="Arial"/>
          <w:sz w:val="22"/>
          <w:szCs w:val="22"/>
        </w:rPr>
        <w:t>’</w:t>
      </w:r>
      <w:r w:rsidRPr="00D42475">
        <w:rPr>
          <w:rFonts w:ascii="Arial" w:hAnsi="Arial" w:cs="Arial"/>
          <w:sz w:val="22"/>
          <w:szCs w:val="22"/>
        </w:rPr>
        <w:t>établir un « dialogue » entre l</w:t>
      </w:r>
      <w:r w:rsidR="00DD43FF">
        <w:rPr>
          <w:rFonts w:ascii="Arial" w:hAnsi="Arial" w:cs="Arial"/>
          <w:sz w:val="22"/>
          <w:szCs w:val="22"/>
        </w:rPr>
        <w:t>’</w:t>
      </w:r>
      <w:r w:rsidRPr="00D42475">
        <w:rPr>
          <w:rFonts w:ascii="Arial" w:hAnsi="Arial" w:cs="Arial"/>
          <w:sz w:val="22"/>
          <w:szCs w:val="22"/>
        </w:rPr>
        <w:t>Organe d</w:t>
      </w:r>
      <w:r w:rsidR="00DD43FF">
        <w:rPr>
          <w:rFonts w:ascii="Arial" w:hAnsi="Arial" w:cs="Arial"/>
          <w:sz w:val="22"/>
          <w:szCs w:val="22"/>
        </w:rPr>
        <w:t>’</w:t>
      </w:r>
      <w:r w:rsidRPr="00D42475">
        <w:rPr>
          <w:rFonts w:ascii="Arial" w:hAnsi="Arial" w:cs="Arial"/>
          <w:sz w:val="22"/>
          <w:szCs w:val="22"/>
        </w:rPr>
        <w:t>évaluation et les États soumissionnaires avant l</w:t>
      </w:r>
      <w:r w:rsidR="00DD43FF">
        <w:rPr>
          <w:rFonts w:ascii="Arial" w:hAnsi="Arial" w:cs="Arial"/>
          <w:sz w:val="22"/>
          <w:szCs w:val="22"/>
        </w:rPr>
        <w:t>’</w:t>
      </w:r>
      <w:r w:rsidRPr="00D42475">
        <w:rPr>
          <w:rFonts w:ascii="Arial" w:hAnsi="Arial" w:cs="Arial"/>
          <w:sz w:val="22"/>
          <w:szCs w:val="22"/>
        </w:rPr>
        <w:t>évaluation finale des éléments à inscrire. Ce dialogue aurait pour effet de réduire le nombre d</w:t>
      </w:r>
      <w:r w:rsidR="00DD43FF">
        <w:rPr>
          <w:rFonts w:ascii="Arial" w:hAnsi="Arial" w:cs="Arial"/>
          <w:sz w:val="22"/>
          <w:szCs w:val="22"/>
        </w:rPr>
        <w:t>’</w:t>
      </w:r>
      <w:r w:rsidRPr="00D42475">
        <w:rPr>
          <w:rFonts w:ascii="Arial" w:hAnsi="Arial" w:cs="Arial"/>
          <w:sz w:val="22"/>
          <w:szCs w:val="22"/>
        </w:rPr>
        <w:t xml:space="preserve">inscriptions rejetées et par la même occasion réduire le nombre de dossiers ouverts à </w:t>
      </w:r>
      <w:r>
        <w:rPr>
          <w:rFonts w:ascii="Arial" w:hAnsi="Arial" w:cs="Arial"/>
          <w:sz w:val="22"/>
          <w:szCs w:val="22"/>
        </w:rPr>
        <w:t>la discussion à chaque Comité.</w:t>
      </w:r>
    </w:p>
    <w:p w14:paraId="1CA5E24B" w14:textId="7E3FAE83" w:rsidR="00D42475" w:rsidRPr="00D42475" w:rsidRDefault="00D42475" w:rsidP="00D42475">
      <w:pPr>
        <w:pStyle w:val="ListParagraph"/>
        <w:numPr>
          <w:ilvl w:val="0"/>
          <w:numId w:val="52"/>
        </w:numPr>
        <w:spacing w:before="120" w:after="120"/>
        <w:ind w:left="567" w:hanging="567"/>
        <w:contextualSpacing w:val="0"/>
        <w:jc w:val="both"/>
        <w:rPr>
          <w:rFonts w:ascii="Arial" w:hAnsi="Arial" w:cs="Arial"/>
          <w:sz w:val="22"/>
          <w:szCs w:val="22"/>
        </w:rPr>
      </w:pPr>
      <w:r w:rsidRPr="00D42475">
        <w:rPr>
          <w:rFonts w:ascii="Arial" w:hAnsi="Arial" w:cs="Arial"/>
          <w:sz w:val="22"/>
          <w:szCs w:val="22"/>
        </w:rPr>
        <w:t>Le groupe de travail a rappelé que l</w:t>
      </w:r>
      <w:r w:rsidR="00DD43FF">
        <w:rPr>
          <w:rFonts w:ascii="Arial" w:hAnsi="Arial" w:cs="Arial"/>
          <w:sz w:val="22"/>
          <w:szCs w:val="22"/>
        </w:rPr>
        <w:t>’</w:t>
      </w:r>
      <w:r w:rsidRPr="00D42475">
        <w:rPr>
          <w:rFonts w:ascii="Arial" w:hAnsi="Arial" w:cs="Arial"/>
          <w:sz w:val="22"/>
          <w:szCs w:val="22"/>
        </w:rPr>
        <w:t>Assemblée générale avait reconnu l</w:t>
      </w:r>
      <w:r w:rsidR="00DD43FF">
        <w:rPr>
          <w:rFonts w:ascii="Arial" w:hAnsi="Arial" w:cs="Arial"/>
          <w:sz w:val="22"/>
          <w:szCs w:val="22"/>
        </w:rPr>
        <w:t>’</w:t>
      </w:r>
      <w:r w:rsidRPr="00D42475">
        <w:rPr>
          <w:rFonts w:ascii="Arial" w:hAnsi="Arial" w:cs="Arial"/>
          <w:sz w:val="22"/>
          <w:szCs w:val="22"/>
        </w:rPr>
        <w:t>importance du dialogue pour améliorer le processus d</w:t>
      </w:r>
      <w:r w:rsidR="00DD43FF">
        <w:rPr>
          <w:rFonts w:ascii="Arial" w:hAnsi="Arial" w:cs="Arial"/>
          <w:sz w:val="22"/>
          <w:szCs w:val="22"/>
        </w:rPr>
        <w:t>’</w:t>
      </w:r>
      <w:r w:rsidRPr="00D42475">
        <w:rPr>
          <w:rFonts w:ascii="Arial" w:hAnsi="Arial" w:cs="Arial"/>
          <w:sz w:val="22"/>
          <w:szCs w:val="22"/>
        </w:rPr>
        <w:t>évaluation et la nécessité de développer, dans le cadre du groupe de travail ad hoc informel et du comité intergouvernemental, un mécanisme approprié pour renforcer la transparence et la crédibilité des activités.</w:t>
      </w:r>
    </w:p>
    <w:p w14:paraId="22E708C7" w14:textId="6E4B9F0F" w:rsidR="00D42475" w:rsidRPr="00D42475" w:rsidRDefault="00D42475" w:rsidP="00D42475">
      <w:pPr>
        <w:pStyle w:val="ListParagraph"/>
        <w:numPr>
          <w:ilvl w:val="0"/>
          <w:numId w:val="52"/>
        </w:numPr>
        <w:spacing w:before="120" w:after="120"/>
        <w:ind w:left="567" w:hanging="567"/>
        <w:contextualSpacing w:val="0"/>
        <w:jc w:val="both"/>
        <w:rPr>
          <w:rFonts w:ascii="Arial" w:hAnsi="Arial" w:cs="Arial"/>
          <w:sz w:val="22"/>
          <w:szCs w:val="22"/>
        </w:rPr>
      </w:pPr>
      <w:r w:rsidRPr="00D42475">
        <w:rPr>
          <w:rFonts w:ascii="Arial" w:hAnsi="Arial" w:cs="Arial"/>
          <w:sz w:val="22"/>
          <w:szCs w:val="22"/>
        </w:rPr>
        <w:t>Le groupe de travail a tenu une discussion avec l</w:t>
      </w:r>
      <w:r w:rsidR="00DD43FF">
        <w:rPr>
          <w:rFonts w:ascii="Arial" w:hAnsi="Arial" w:cs="Arial"/>
          <w:sz w:val="22"/>
          <w:szCs w:val="22"/>
        </w:rPr>
        <w:t>’</w:t>
      </w:r>
      <w:r w:rsidRPr="00D42475">
        <w:rPr>
          <w:rFonts w:ascii="Arial" w:hAnsi="Arial" w:cs="Arial"/>
          <w:sz w:val="22"/>
          <w:szCs w:val="22"/>
        </w:rPr>
        <w:t>Organe d</w:t>
      </w:r>
      <w:r w:rsidR="00DD43FF">
        <w:rPr>
          <w:rFonts w:ascii="Arial" w:hAnsi="Arial" w:cs="Arial"/>
          <w:sz w:val="22"/>
          <w:szCs w:val="22"/>
        </w:rPr>
        <w:t>’</w:t>
      </w:r>
      <w:r w:rsidRPr="00D42475">
        <w:rPr>
          <w:rFonts w:ascii="Arial" w:hAnsi="Arial" w:cs="Arial"/>
          <w:sz w:val="22"/>
          <w:szCs w:val="22"/>
        </w:rPr>
        <w:t xml:space="preserve">évaluation à cette fin, au cours de laquelle les points de vue suivants ont été exprimés: </w:t>
      </w:r>
    </w:p>
    <w:p w14:paraId="1448703F" w14:textId="4153D7D9" w:rsidR="00D42475" w:rsidRPr="00D42475" w:rsidRDefault="00D42475" w:rsidP="00D42475">
      <w:pPr>
        <w:pStyle w:val="ListParagraph"/>
        <w:numPr>
          <w:ilvl w:val="1"/>
          <w:numId w:val="52"/>
        </w:numPr>
        <w:spacing w:before="120" w:after="120"/>
        <w:ind w:left="1134" w:hanging="567"/>
        <w:contextualSpacing w:val="0"/>
        <w:jc w:val="both"/>
        <w:rPr>
          <w:rFonts w:ascii="Arial" w:hAnsi="Arial" w:cs="Arial"/>
          <w:sz w:val="22"/>
          <w:szCs w:val="22"/>
        </w:rPr>
      </w:pPr>
      <w:r w:rsidRPr="00D42475">
        <w:rPr>
          <w:rFonts w:ascii="Arial" w:hAnsi="Arial" w:cs="Arial"/>
          <w:sz w:val="22"/>
          <w:szCs w:val="22"/>
        </w:rPr>
        <w:t>Personne n</w:t>
      </w:r>
      <w:r w:rsidR="00DD43FF">
        <w:rPr>
          <w:rFonts w:ascii="Arial" w:hAnsi="Arial" w:cs="Arial"/>
          <w:sz w:val="22"/>
          <w:szCs w:val="22"/>
        </w:rPr>
        <w:t>’</w:t>
      </w:r>
      <w:r w:rsidRPr="00D42475">
        <w:rPr>
          <w:rFonts w:ascii="Arial" w:hAnsi="Arial" w:cs="Arial"/>
          <w:sz w:val="22"/>
          <w:szCs w:val="22"/>
        </w:rPr>
        <w:t>était contre le dialogue, mais la proposition initiale du groupe de travail ad hoc en 2017 relative à une procédure de dialogue écrite semblait trop lourde et potentiellement coûteuse en termes de charge administrative et financière ;</w:t>
      </w:r>
    </w:p>
    <w:p w14:paraId="3A06CBF9" w14:textId="31895D82" w:rsidR="00D42475" w:rsidRPr="00D42475" w:rsidRDefault="00D42475" w:rsidP="00D42475">
      <w:pPr>
        <w:pStyle w:val="ListParagraph"/>
        <w:numPr>
          <w:ilvl w:val="1"/>
          <w:numId w:val="52"/>
        </w:numPr>
        <w:spacing w:before="120" w:after="120"/>
        <w:ind w:left="1134" w:hanging="567"/>
        <w:contextualSpacing w:val="0"/>
        <w:jc w:val="both"/>
        <w:rPr>
          <w:rFonts w:ascii="Arial" w:hAnsi="Arial" w:cs="Arial"/>
          <w:sz w:val="22"/>
          <w:szCs w:val="22"/>
        </w:rPr>
      </w:pPr>
      <w:r w:rsidRPr="00D42475">
        <w:rPr>
          <w:rFonts w:ascii="Arial" w:hAnsi="Arial" w:cs="Arial"/>
          <w:sz w:val="22"/>
          <w:szCs w:val="22"/>
        </w:rPr>
        <w:t>Les révisions dans les formulaires de candidature pour les critères R5 avaient produit des résultats positifs. Cependant, il devenait nécessaire de repenser les questions relatives au critère R2 ;</w:t>
      </w:r>
    </w:p>
    <w:p w14:paraId="31CBD3F1" w14:textId="41537254" w:rsidR="00D42475" w:rsidRPr="00D42475" w:rsidRDefault="00D42475" w:rsidP="00D42475">
      <w:pPr>
        <w:pStyle w:val="ListParagraph"/>
        <w:numPr>
          <w:ilvl w:val="1"/>
          <w:numId w:val="52"/>
        </w:numPr>
        <w:spacing w:before="120" w:after="120"/>
        <w:ind w:left="1134" w:hanging="567"/>
        <w:contextualSpacing w:val="0"/>
        <w:jc w:val="both"/>
        <w:rPr>
          <w:rFonts w:ascii="Arial" w:hAnsi="Arial" w:cs="Arial"/>
          <w:sz w:val="22"/>
          <w:szCs w:val="22"/>
        </w:rPr>
      </w:pPr>
      <w:r w:rsidRPr="00D42475">
        <w:rPr>
          <w:rFonts w:ascii="Arial" w:hAnsi="Arial" w:cs="Arial"/>
          <w:sz w:val="22"/>
          <w:szCs w:val="22"/>
        </w:rPr>
        <w:t>Certains États parties ont continué à insister sur la pertinence d</w:t>
      </w:r>
      <w:r w:rsidR="00DD43FF">
        <w:rPr>
          <w:rFonts w:ascii="Arial" w:hAnsi="Arial" w:cs="Arial"/>
          <w:sz w:val="22"/>
          <w:szCs w:val="22"/>
        </w:rPr>
        <w:t>’</w:t>
      </w:r>
      <w:r w:rsidRPr="00D42475">
        <w:rPr>
          <w:rFonts w:ascii="Arial" w:hAnsi="Arial" w:cs="Arial"/>
          <w:sz w:val="22"/>
          <w:szCs w:val="22"/>
        </w:rPr>
        <w:t>un dialogue entre les États parties avec des nominations et l</w:t>
      </w:r>
      <w:r w:rsidR="00DD43FF">
        <w:rPr>
          <w:rFonts w:ascii="Arial" w:hAnsi="Arial" w:cs="Arial"/>
          <w:sz w:val="22"/>
          <w:szCs w:val="22"/>
        </w:rPr>
        <w:t>’</w:t>
      </w:r>
      <w:r w:rsidRPr="00D42475">
        <w:rPr>
          <w:rFonts w:ascii="Arial" w:hAnsi="Arial" w:cs="Arial"/>
          <w:sz w:val="22"/>
          <w:szCs w:val="22"/>
        </w:rPr>
        <w:t>Organe d</w:t>
      </w:r>
      <w:r w:rsidR="00DD43FF">
        <w:rPr>
          <w:rFonts w:ascii="Arial" w:hAnsi="Arial" w:cs="Arial"/>
          <w:sz w:val="22"/>
          <w:szCs w:val="22"/>
        </w:rPr>
        <w:t>’</w:t>
      </w:r>
      <w:r w:rsidRPr="00D42475">
        <w:rPr>
          <w:rFonts w:ascii="Arial" w:hAnsi="Arial" w:cs="Arial"/>
          <w:sz w:val="22"/>
          <w:szCs w:val="22"/>
        </w:rPr>
        <w:t>évaluation afin d</w:t>
      </w:r>
      <w:r w:rsidR="00DD43FF">
        <w:rPr>
          <w:rFonts w:ascii="Arial" w:hAnsi="Arial" w:cs="Arial"/>
          <w:sz w:val="22"/>
          <w:szCs w:val="22"/>
        </w:rPr>
        <w:t>’</w:t>
      </w:r>
      <w:r w:rsidRPr="00D42475">
        <w:rPr>
          <w:rFonts w:ascii="Arial" w:hAnsi="Arial" w:cs="Arial"/>
          <w:sz w:val="22"/>
          <w:szCs w:val="22"/>
        </w:rPr>
        <w:t>éviter toute surprise, comme une forme de préavis pour les renvois ou les non-inscriptions ;</w:t>
      </w:r>
    </w:p>
    <w:p w14:paraId="738E9F23" w14:textId="51C7C17E" w:rsidR="00D42475" w:rsidRPr="00D42475" w:rsidRDefault="00D42475" w:rsidP="00D42475">
      <w:pPr>
        <w:pStyle w:val="ListParagraph"/>
        <w:numPr>
          <w:ilvl w:val="1"/>
          <w:numId w:val="52"/>
        </w:numPr>
        <w:spacing w:before="120" w:after="120"/>
        <w:ind w:left="1134" w:hanging="567"/>
        <w:contextualSpacing w:val="0"/>
        <w:jc w:val="both"/>
        <w:rPr>
          <w:rFonts w:ascii="Arial" w:hAnsi="Arial" w:cs="Arial"/>
          <w:sz w:val="22"/>
          <w:szCs w:val="22"/>
        </w:rPr>
      </w:pPr>
      <w:r w:rsidRPr="00D42475">
        <w:rPr>
          <w:rFonts w:ascii="Arial" w:hAnsi="Arial" w:cs="Arial"/>
          <w:sz w:val="22"/>
          <w:szCs w:val="22"/>
        </w:rPr>
        <w:t>À cet égard, un rapport intermédiaire contenant les recommandations de l</w:t>
      </w:r>
      <w:r w:rsidR="00DD43FF">
        <w:rPr>
          <w:rFonts w:ascii="Arial" w:hAnsi="Arial" w:cs="Arial"/>
          <w:sz w:val="22"/>
          <w:szCs w:val="22"/>
        </w:rPr>
        <w:t>’</w:t>
      </w:r>
      <w:r w:rsidRPr="00D42475">
        <w:rPr>
          <w:rFonts w:ascii="Arial" w:hAnsi="Arial" w:cs="Arial"/>
          <w:sz w:val="22"/>
          <w:szCs w:val="22"/>
        </w:rPr>
        <w:t>Organe d</w:t>
      </w:r>
      <w:r w:rsidR="00DD43FF">
        <w:rPr>
          <w:rFonts w:ascii="Arial" w:hAnsi="Arial" w:cs="Arial"/>
          <w:sz w:val="22"/>
          <w:szCs w:val="22"/>
        </w:rPr>
        <w:t>’</w:t>
      </w:r>
      <w:r w:rsidRPr="00D42475">
        <w:rPr>
          <w:rFonts w:ascii="Arial" w:hAnsi="Arial" w:cs="Arial"/>
          <w:sz w:val="22"/>
          <w:szCs w:val="22"/>
        </w:rPr>
        <w:t>évaluation pourrait être envoyé aux États parties et aux membres du Comité désignés à la suite de sa deuxième réunion au cours d</w:t>
      </w:r>
      <w:r w:rsidR="00DD43FF">
        <w:rPr>
          <w:rFonts w:ascii="Arial" w:hAnsi="Arial" w:cs="Arial"/>
          <w:sz w:val="22"/>
          <w:szCs w:val="22"/>
        </w:rPr>
        <w:t>’</w:t>
      </w:r>
      <w:r w:rsidRPr="00D42475">
        <w:rPr>
          <w:rFonts w:ascii="Arial" w:hAnsi="Arial" w:cs="Arial"/>
          <w:sz w:val="22"/>
          <w:szCs w:val="22"/>
        </w:rPr>
        <w:t>un cycle d</w:t>
      </w:r>
      <w:r w:rsidR="00DD43FF">
        <w:rPr>
          <w:rFonts w:ascii="Arial" w:hAnsi="Arial" w:cs="Arial"/>
          <w:sz w:val="22"/>
          <w:szCs w:val="22"/>
        </w:rPr>
        <w:t>’</w:t>
      </w:r>
      <w:r w:rsidRPr="00D42475">
        <w:rPr>
          <w:rFonts w:ascii="Arial" w:hAnsi="Arial" w:cs="Arial"/>
          <w:sz w:val="22"/>
          <w:szCs w:val="22"/>
        </w:rPr>
        <w:t>évaluation (généralement en juillet) ;</w:t>
      </w:r>
    </w:p>
    <w:p w14:paraId="417BF2B5" w14:textId="3460ECF5" w:rsidR="00D42475" w:rsidRPr="00D42475" w:rsidRDefault="00D42475" w:rsidP="00D42475">
      <w:pPr>
        <w:pStyle w:val="ListParagraph"/>
        <w:numPr>
          <w:ilvl w:val="1"/>
          <w:numId w:val="52"/>
        </w:numPr>
        <w:spacing w:before="120" w:after="120"/>
        <w:ind w:left="1134" w:hanging="567"/>
        <w:contextualSpacing w:val="0"/>
        <w:jc w:val="both"/>
        <w:rPr>
          <w:rFonts w:ascii="Arial" w:hAnsi="Arial" w:cs="Arial"/>
          <w:sz w:val="22"/>
          <w:szCs w:val="22"/>
        </w:rPr>
      </w:pPr>
      <w:r w:rsidRPr="00D42475">
        <w:rPr>
          <w:rFonts w:ascii="Arial" w:hAnsi="Arial" w:cs="Arial"/>
          <w:sz w:val="22"/>
          <w:szCs w:val="22"/>
        </w:rPr>
        <w:t>Il a également été noté que les réformes pourraient être mises en œuvre et évaluées à titre d</w:t>
      </w:r>
      <w:r w:rsidR="00DD43FF">
        <w:rPr>
          <w:rFonts w:ascii="Arial" w:hAnsi="Arial" w:cs="Arial"/>
          <w:sz w:val="22"/>
          <w:szCs w:val="22"/>
        </w:rPr>
        <w:t>’</w:t>
      </w:r>
      <w:r w:rsidRPr="00D42475">
        <w:rPr>
          <w:rFonts w:ascii="Arial" w:hAnsi="Arial" w:cs="Arial"/>
          <w:sz w:val="22"/>
          <w:szCs w:val="22"/>
        </w:rPr>
        <w:t>essai, avant d</w:t>
      </w:r>
      <w:r w:rsidR="00DD43FF">
        <w:rPr>
          <w:rFonts w:ascii="Arial" w:hAnsi="Arial" w:cs="Arial"/>
          <w:sz w:val="22"/>
          <w:szCs w:val="22"/>
        </w:rPr>
        <w:t>’</w:t>
      </w:r>
      <w:r w:rsidRPr="00D42475">
        <w:rPr>
          <w:rFonts w:ascii="Arial" w:hAnsi="Arial" w:cs="Arial"/>
          <w:sz w:val="22"/>
          <w:szCs w:val="22"/>
        </w:rPr>
        <w:t>apporter des modifications permanentes aux procédures.</w:t>
      </w:r>
    </w:p>
    <w:p w14:paraId="4B1AE04C" w14:textId="32711138" w:rsidR="00D42475" w:rsidRPr="00D42475" w:rsidRDefault="00D42475" w:rsidP="00D42475">
      <w:pPr>
        <w:pStyle w:val="ListParagraph"/>
        <w:numPr>
          <w:ilvl w:val="0"/>
          <w:numId w:val="52"/>
        </w:numPr>
        <w:spacing w:before="120" w:after="120"/>
        <w:ind w:left="567" w:hanging="567"/>
        <w:contextualSpacing w:val="0"/>
        <w:jc w:val="both"/>
        <w:rPr>
          <w:rFonts w:ascii="Arial" w:hAnsi="Arial" w:cs="Arial"/>
          <w:sz w:val="22"/>
          <w:szCs w:val="22"/>
        </w:rPr>
      </w:pPr>
      <w:r w:rsidRPr="00D42475">
        <w:rPr>
          <w:rFonts w:ascii="Arial" w:hAnsi="Arial" w:cs="Arial"/>
          <w:sz w:val="22"/>
          <w:szCs w:val="22"/>
        </w:rPr>
        <w:t>La question du dialogue sera reconsidérée à l</w:t>
      </w:r>
      <w:r w:rsidR="00DD43FF">
        <w:rPr>
          <w:rFonts w:ascii="Arial" w:hAnsi="Arial" w:cs="Arial"/>
          <w:sz w:val="22"/>
          <w:szCs w:val="22"/>
        </w:rPr>
        <w:t>’</w:t>
      </w:r>
      <w:r w:rsidRPr="00D42475">
        <w:rPr>
          <w:rFonts w:ascii="Arial" w:hAnsi="Arial" w:cs="Arial"/>
          <w:sz w:val="22"/>
          <w:szCs w:val="22"/>
        </w:rPr>
        <w:t>occasion du 14</w:t>
      </w:r>
      <w:r w:rsidRPr="00D42475">
        <w:rPr>
          <w:rFonts w:ascii="Arial" w:hAnsi="Arial" w:cs="Arial"/>
          <w:sz w:val="22"/>
          <w:szCs w:val="22"/>
          <w:vertAlign w:val="superscript"/>
        </w:rPr>
        <w:t xml:space="preserve"> </w:t>
      </w:r>
      <w:r w:rsidRPr="00D42475">
        <w:rPr>
          <w:rFonts w:ascii="Arial" w:hAnsi="Arial" w:cs="Arial"/>
          <w:sz w:val="22"/>
          <w:szCs w:val="22"/>
        </w:rPr>
        <w:t>COM en 2019, ce qui laissera le temps d</w:t>
      </w:r>
      <w:r w:rsidR="00DD43FF">
        <w:rPr>
          <w:rFonts w:ascii="Arial" w:hAnsi="Arial" w:cs="Arial"/>
          <w:sz w:val="22"/>
          <w:szCs w:val="22"/>
        </w:rPr>
        <w:t>’</w:t>
      </w:r>
      <w:r w:rsidRPr="00D42475">
        <w:rPr>
          <w:rFonts w:ascii="Arial" w:hAnsi="Arial" w:cs="Arial"/>
          <w:sz w:val="22"/>
          <w:szCs w:val="22"/>
        </w:rPr>
        <w:t>évaluer les innovations introduites par le Secrétariat dans les formulaires d</w:t>
      </w:r>
      <w:r w:rsidR="00DD43FF">
        <w:rPr>
          <w:rFonts w:ascii="Arial" w:hAnsi="Arial" w:cs="Arial"/>
          <w:sz w:val="22"/>
          <w:szCs w:val="22"/>
        </w:rPr>
        <w:t>’</w:t>
      </w:r>
      <w:r w:rsidRPr="00D42475">
        <w:rPr>
          <w:rFonts w:ascii="Arial" w:hAnsi="Arial" w:cs="Arial"/>
          <w:sz w:val="22"/>
          <w:szCs w:val="22"/>
        </w:rPr>
        <w:t>inscriptions.</w:t>
      </w:r>
    </w:p>
    <w:p w14:paraId="611B9594" w14:textId="585EE945" w:rsidR="00D42475" w:rsidRPr="00D42475" w:rsidRDefault="00D42475" w:rsidP="00D42475">
      <w:pPr>
        <w:pStyle w:val="ListParagraph"/>
        <w:spacing w:before="120" w:after="120"/>
        <w:ind w:left="0"/>
        <w:contextualSpacing w:val="0"/>
        <w:jc w:val="both"/>
        <w:rPr>
          <w:rFonts w:ascii="Arial" w:hAnsi="Arial" w:cs="Arial"/>
          <w:b/>
          <w:sz w:val="22"/>
          <w:szCs w:val="22"/>
        </w:rPr>
      </w:pPr>
      <w:r w:rsidRPr="00D42475">
        <w:rPr>
          <w:rFonts w:ascii="Arial" w:hAnsi="Arial" w:cs="Arial"/>
          <w:b/>
          <w:sz w:val="22"/>
          <w:szCs w:val="22"/>
          <w:shd w:val="clear" w:color="auto" w:fill="FFFFFF"/>
        </w:rPr>
        <w:t>Réflexion, en consultation avec les ONG accréditées, aux différentes façons possibles de renforcer encore davantage la participation des ONG dans le cadre de la Convention de 2003 et à la manière dont cette amélioration pourrait se refléter dans les mécanismes d</w:t>
      </w:r>
      <w:r w:rsidR="00DD43FF">
        <w:rPr>
          <w:rFonts w:ascii="Arial" w:hAnsi="Arial" w:cs="Arial"/>
          <w:b/>
          <w:sz w:val="22"/>
          <w:szCs w:val="22"/>
          <w:shd w:val="clear" w:color="auto" w:fill="FFFFFF"/>
        </w:rPr>
        <w:t>’</w:t>
      </w:r>
      <w:r w:rsidRPr="00D42475">
        <w:rPr>
          <w:rFonts w:ascii="Arial" w:hAnsi="Arial" w:cs="Arial"/>
          <w:b/>
          <w:sz w:val="22"/>
          <w:szCs w:val="22"/>
          <w:shd w:val="clear" w:color="auto" w:fill="FFFFFF"/>
        </w:rPr>
        <w:t>accréditation et de renouvellement des organisations non gouvernementale</w:t>
      </w:r>
    </w:p>
    <w:p w14:paraId="7A464406" w14:textId="01FDCE36" w:rsidR="00D42475" w:rsidRPr="00D42475" w:rsidRDefault="00D42475" w:rsidP="00D42475">
      <w:pPr>
        <w:pStyle w:val="ListParagraph"/>
        <w:numPr>
          <w:ilvl w:val="0"/>
          <w:numId w:val="52"/>
        </w:numPr>
        <w:spacing w:before="120" w:after="120"/>
        <w:ind w:left="567" w:hanging="567"/>
        <w:contextualSpacing w:val="0"/>
        <w:jc w:val="both"/>
        <w:rPr>
          <w:rFonts w:ascii="Arial" w:hAnsi="Arial" w:cs="Arial"/>
          <w:sz w:val="22"/>
          <w:szCs w:val="22"/>
        </w:rPr>
      </w:pPr>
      <w:r w:rsidRPr="00D42475">
        <w:rPr>
          <w:rFonts w:ascii="Arial" w:hAnsi="Arial" w:cs="Arial"/>
          <w:sz w:val="22"/>
          <w:szCs w:val="22"/>
        </w:rPr>
        <w:t>Le Secrétariat a donné quelques informations historiques, indiquant que l</w:t>
      </w:r>
      <w:r w:rsidR="00DD43FF">
        <w:rPr>
          <w:rFonts w:ascii="Arial" w:hAnsi="Arial" w:cs="Arial"/>
          <w:sz w:val="22"/>
          <w:szCs w:val="22"/>
        </w:rPr>
        <w:t>’</w:t>
      </w:r>
      <w:r w:rsidRPr="00D42475">
        <w:rPr>
          <w:rFonts w:ascii="Arial" w:hAnsi="Arial" w:cs="Arial"/>
          <w:sz w:val="22"/>
          <w:szCs w:val="22"/>
        </w:rPr>
        <w:t>objectif initial était de créer un réseau sans définir un rôle rigide pour les ONG. Il y a des différences entre les ONG du réseau en termes de taille, d</w:t>
      </w:r>
      <w:r w:rsidR="00DD43FF">
        <w:rPr>
          <w:rFonts w:ascii="Arial" w:hAnsi="Arial" w:cs="Arial"/>
          <w:sz w:val="22"/>
          <w:szCs w:val="22"/>
        </w:rPr>
        <w:t>’</w:t>
      </w:r>
      <w:r w:rsidRPr="00D42475">
        <w:rPr>
          <w:rFonts w:ascii="Arial" w:hAnsi="Arial" w:cs="Arial"/>
          <w:sz w:val="22"/>
          <w:szCs w:val="22"/>
        </w:rPr>
        <w:t>échelle des opérations, de ressources et de capacités. Il est nécessaire de définir l</w:t>
      </w:r>
      <w:r w:rsidR="00DD43FF">
        <w:rPr>
          <w:rFonts w:ascii="Arial" w:hAnsi="Arial" w:cs="Arial"/>
          <w:sz w:val="22"/>
          <w:szCs w:val="22"/>
        </w:rPr>
        <w:t>’</w:t>
      </w:r>
      <w:r w:rsidRPr="00D42475">
        <w:rPr>
          <w:rFonts w:ascii="Arial" w:hAnsi="Arial" w:cs="Arial"/>
          <w:sz w:val="22"/>
          <w:szCs w:val="22"/>
        </w:rPr>
        <w:t xml:space="preserve">expression « entre autres » dans les directives opérationnelles et de différencier la qualité ONG du réseau. Le Secrétariat a proposé un processus de réflexion de deux ans sur la question, avec des consultations en ligne avec et entre les États parties, le </w:t>
      </w:r>
      <w:r w:rsidRPr="00D42475">
        <w:rPr>
          <w:rFonts w:ascii="Arial" w:hAnsi="Arial" w:cs="Arial"/>
          <w:sz w:val="22"/>
          <w:szCs w:val="22"/>
        </w:rPr>
        <w:lastRenderedPageBreak/>
        <w:t>groupe de travail ad hoc et les ONG accréditées en vue d</w:t>
      </w:r>
      <w:r w:rsidR="00DD43FF">
        <w:rPr>
          <w:rFonts w:ascii="Arial" w:hAnsi="Arial" w:cs="Arial"/>
          <w:sz w:val="22"/>
          <w:szCs w:val="22"/>
        </w:rPr>
        <w:t>’</w:t>
      </w:r>
      <w:r w:rsidRPr="00D42475">
        <w:rPr>
          <w:rFonts w:ascii="Arial" w:hAnsi="Arial" w:cs="Arial"/>
          <w:sz w:val="22"/>
          <w:szCs w:val="22"/>
        </w:rPr>
        <w:t>adopter des révisions aux Directives opérationnelles à l</w:t>
      </w:r>
      <w:r w:rsidR="00DD43FF">
        <w:rPr>
          <w:rFonts w:ascii="Arial" w:hAnsi="Arial" w:cs="Arial"/>
          <w:sz w:val="22"/>
          <w:szCs w:val="22"/>
        </w:rPr>
        <w:t>’</w:t>
      </w:r>
      <w:r w:rsidRPr="00D42475">
        <w:rPr>
          <w:rFonts w:ascii="Arial" w:hAnsi="Arial" w:cs="Arial"/>
          <w:sz w:val="22"/>
          <w:szCs w:val="22"/>
        </w:rPr>
        <w:t>Assemblée générale de la Convention en 2020.</w:t>
      </w:r>
    </w:p>
    <w:p w14:paraId="74ACA4A5" w14:textId="74472F99" w:rsidR="00D42475" w:rsidRPr="00D42475" w:rsidRDefault="00D42475" w:rsidP="00D02860">
      <w:pPr>
        <w:pStyle w:val="ListParagraph"/>
        <w:numPr>
          <w:ilvl w:val="0"/>
          <w:numId w:val="52"/>
        </w:numPr>
        <w:spacing w:before="120" w:after="120"/>
        <w:ind w:left="567" w:hanging="567"/>
        <w:contextualSpacing w:val="0"/>
        <w:jc w:val="both"/>
        <w:rPr>
          <w:rFonts w:ascii="Arial" w:hAnsi="Arial" w:cs="Arial"/>
          <w:sz w:val="22"/>
          <w:szCs w:val="22"/>
        </w:rPr>
      </w:pPr>
      <w:r w:rsidRPr="00D42475">
        <w:rPr>
          <w:rFonts w:ascii="Arial" w:hAnsi="Arial" w:cs="Arial"/>
          <w:sz w:val="22"/>
          <w:szCs w:val="22"/>
        </w:rPr>
        <w:t>Le groupe a pris note du lancement d</w:t>
      </w:r>
      <w:r w:rsidR="00DD43FF">
        <w:rPr>
          <w:rFonts w:ascii="Arial" w:hAnsi="Arial" w:cs="Arial"/>
          <w:sz w:val="22"/>
          <w:szCs w:val="22"/>
        </w:rPr>
        <w:t>’</w:t>
      </w:r>
      <w:r w:rsidRPr="00D42475">
        <w:rPr>
          <w:rFonts w:ascii="Arial" w:hAnsi="Arial" w:cs="Arial"/>
          <w:sz w:val="22"/>
          <w:szCs w:val="22"/>
        </w:rPr>
        <w:t>un processus de réflexion de deux ans sur cette question et continuera à contribuer au processus, comme l</w:t>
      </w:r>
      <w:r w:rsidR="00DD43FF">
        <w:rPr>
          <w:rFonts w:ascii="Arial" w:hAnsi="Arial" w:cs="Arial"/>
          <w:sz w:val="22"/>
          <w:szCs w:val="22"/>
        </w:rPr>
        <w:t>’</w:t>
      </w:r>
      <w:r w:rsidRPr="00D42475">
        <w:rPr>
          <w:rFonts w:ascii="Arial" w:hAnsi="Arial" w:cs="Arial"/>
          <w:sz w:val="22"/>
          <w:szCs w:val="22"/>
        </w:rPr>
        <w:t>a décidé l</w:t>
      </w:r>
      <w:r w:rsidR="00DD43FF">
        <w:rPr>
          <w:rFonts w:ascii="Arial" w:hAnsi="Arial" w:cs="Arial"/>
          <w:sz w:val="22"/>
          <w:szCs w:val="22"/>
        </w:rPr>
        <w:t>’</w:t>
      </w:r>
      <w:r w:rsidRPr="00D42475">
        <w:rPr>
          <w:rFonts w:ascii="Arial" w:hAnsi="Arial" w:cs="Arial"/>
          <w:sz w:val="22"/>
          <w:szCs w:val="22"/>
        </w:rPr>
        <w:t xml:space="preserve">Assemblée générale dans sa </w:t>
      </w:r>
      <w:hyperlink r:id="rId18" w:history="1">
        <w:r w:rsidRPr="00D02860">
          <w:rPr>
            <w:rStyle w:val="Hyperlink"/>
            <w:rFonts w:ascii="Arial" w:hAnsi="Arial" w:cs="Arial"/>
            <w:sz w:val="22"/>
            <w:szCs w:val="22"/>
          </w:rPr>
          <w:t>résolution 7</w:t>
        </w:r>
        <w:r w:rsidR="00D02860" w:rsidRPr="00D02860">
          <w:rPr>
            <w:rStyle w:val="Hyperlink"/>
            <w:rFonts w:ascii="Arial" w:hAnsi="Arial" w:cs="Arial"/>
            <w:sz w:val="22"/>
            <w:szCs w:val="22"/>
          </w:rPr>
          <w:t>.GA </w:t>
        </w:r>
        <w:r w:rsidRPr="00D02860">
          <w:rPr>
            <w:rStyle w:val="Hyperlink"/>
            <w:rFonts w:ascii="Arial" w:hAnsi="Arial" w:cs="Arial"/>
            <w:sz w:val="22"/>
            <w:szCs w:val="22"/>
          </w:rPr>
          <w:t>11</w:t>
        </w:r>
      </w:hyperlink>
      <w:r w:rsidRPr="00D42475">
        <w:rPr>
          <w:rFonts w:ascii="Arial" w:hAnsi="Arial" w:cs="Arial"/>
          <w:sz w:val="22"/>
          <w:szCs w:val="22"/>
        </w:rPr>
        <w:t xml:space="preserve"> et le Comité par sa </w:t>
      </w:r>
      <w:hyperlink r:id="rId19" w:history="1">
        <w:r w:rsidRPr="00D02860">
          <w:rPr>
            <w:rStyle w:val="Hyperlink"/>
            <w:rFonts w:ascii="Arial" w:hAnsi="Arial" w:cs="Arial"/>
            <w:sz w:val="22"/>
            <w:szCs w:val="22"/>
          </w:rPr>
          <w:t>décision 12.COM</w:t>
        </w:r>
        <w:r w:rsidR="00D02860" w:rsidRPr="00D02860">
          <w:rPr>
            <w:rStyle w:val="Hyperlink"/>
            <w:rFonts w:ascii="Arial" w:hAnsi="Arial" w:cs="Arial"/>
            <w:sz w:val="22"/>
            <w:szCs w:val="22"/>
          </w:rPr>
          <w:t> 17</w:t>
        </w:r>
      </w:hyperlink>
      <w:r w:rsidRPr="00D42475">
        <w:rPr>
          <w:rFonts w:ascii="Arial" w:hAnsi="Arial" w:cs="Arial"/>
          <w:sz w:val="22"/>
          <w:szCs w:val="22"/>
        </w:rPr>
        <w:t>.</w:t>
      </w:r>
    </w:p>
    <w:p w14:paraId="1E35418F" w14:textId="7ADE25AA" w:rsidR="00D42475" w:rsidRPr="00D42475" w:rsidRDefault="00D42475" w:rsidP="00D42475">
      <w:pPr>
        <w:pStyle w:val="ListParagraph"/>
        <w:numPr>
          <w:ilvl w:val="0"/>
          <w:numId w:val="52"/>
        </w:numPr>
        <w:spacing w:before="120" w:after="120"/>
        <w:ind w:left="567" w:hanging="567"/>
        <w:contextualSpacing w:val="0"/>
        <w:jc w:val="both"/>
        <w:rPr>
          <w:rFonts w:ascii="Arial" w:hAnsi="Arial" w:cs="Arial"/>
          <w:sz w:val="22"/>
          <w:szCs w:val="22"/>
        </w:rPr>
      </w:pPr>
      <w:r w:rsidRPr="00D42475">
        <w:rPr>
          <w:rFonts w:ascii="Arial" w:hAnsi="Arial" w:cs="Arial"/>
          <w:sz w:val="22"/>
          <w:szCs w:val="22"/>
        </w:rPr>
        <w:t>À la demande du groupe de travail, les coprésidents ont eu un échange de vues informel avec des représentants du Forum des ONG sur le PCI, au cours duquel ont été formulées les</w:t>
      </w:r>
      <w:r>
        <w:rPr>
          <w:rFonts w:ascii="Arial" w:hAnsi="Arial" w:cs="Arial"/>
          <w:sz w:val="22"/>
          <w:szCs w:val="22"/>
        </w:rPr>
        <w:t xml:space="preserve"> idées préliminaires suivantes :</w:t>
      </w:r>
    </w:p>
    <w:p w14:paraId="7C20C8E9" w14:textId="3644F90B" w:rsidR="00D42475" w:rsidRPr="00D42475" w:rsidRDefault="00D42475" w:rsidP="00D42475">
      <w:pPr>
        <w:pStyle w:val="ListParagraph"/>
        <w:numPr>
          <w:ilvl w:val="1"/>
          <w:numId w:val="52"/>
        </w:numPr>
        <w:spacing w:before="120" w:after="120"/>
        <w:ind w:left="1134" w:hanging="567"/>
        <w:contextualSpacing w:val="0"/>
        <w:jc w:val="both"/>
        <w:rPr>
          <w:rFonts w:ascii="Arial" w:hAnsi="Arial" w:cs="Arial"/>
          <w:sz w:val="22"/>
          <w:szCs w:val="22"/>
        </w:rPr>
      </w:pPr>
      <w:r w:rsidRPr="00D42475">
        <w:rPr>
          <w:rFonts w:ascii="Arial" w:hAnsi="Arial" w:cs="Arial"/>
          <w:sz w:val="22"/>
          <w:szCs w:val="22"/>
        </w:rPr>
        <w:t>Il est nécessaire de revoir la structure de gouvernance du réseau d</w:t>
      </w:r>
      <w:r w:rsidR="00DD43FF">
        <w:rPr>
          <w:rFonts w:ascii="Arial" w:hAnsi="Arial" w:cs="Arial"/>
          <w:sz w:val="22"/>
          <w:szCs w:val="22"/>
        </w:rPr>
        <w:t>’</w:t>
      </w:r>
      <w:r w:rsidRPr="00D42475">
        <w:rPr>
          <w:rFonts w:ascii="Arial" w:hAnsi="Arial" w:cs="Arial"/>
          <w:sz w:val="22"/>
          <w:szCs w:val="22"/>
        </w:rPr>
        <w:t>ONG pour voir comment celle-ci pourrait devenir une présence plus institutionnelle avec des points focaux permanents ;</w:t>
      </w:r>
    </w:p>
    <w:p w14:paraId="10C89B2B" w14:textId="11106872" w:rsidR="00D42475" w:rsidRPr="00D42475" w:rsidRDefault="00D42475" w:rsidP="00D42475">
      <w:pPr>
        <w:pStyle w:val="ListParagraph"/>
        <w:numPr>
          <w:ilvl w:val="1"/>
          <w:numId w:val="52"/>
        </w:numPr>
        <w:spacing w:before="120" w:after="120"/>
        <w:ind w:left="1134" w:hanging="567"/>
        <w:contextualSpacing w:val="0"/>
        <w:jc w:val="both"/>
        <w:rPr>
          <w:rFonts w:ascii="Arial" w:hAnsi="Arial" w:cs="Arial"/>
          <w:sz w:val="22"/>
          <w:szCs w:val="22"/>
        </w:rPr>
      </w:pPr>
      <w:r w:rsidRPr="00D42475">
        <w:rPr>
          <w:rFonts w:ascii="Arial" w:hAnsi="Arial" w:cs="Arial"/>
          <w:sz w:val="22"/>
          <w:szCs w:val="22"/>
        </w:rPr>
        <w:t>Une cartographie du réseau d</w:t>
      </w:r>
      <w:r w:rsidR="00DD43FF">
        <w:rPr>
          <w:rFonts w:ascii="Arial" w:hAnsi="Arial" w:cs="Arial"/>
          <w:sz w:val="22"/>
          <w:szCs w:val="22"/>
        </w:rPr>
        <w:t>’</w:t>
      </w:r>
      <w:r w:rsidRPr="00D42475">
        <w:rPr>
          <w:rFonts w:ascii="Arial" w:hAnsi="Arial" w:cs="Arial"/>
          <w:sz w:val="22"/>
          <w:szCs w:val="22"/>
        </w:rPr>
        <w:t>ONG serait utile pour déterminer les capacités et la portée des contributions que les ONG accréditées peuvent apporter aux processus et mécanismes de la Convention de 2003. Cela peut nécessiter un éventuel système de classification en termes d</w:t>
      </w:r>
      <w:r w:rsidR="00DD43FF">
        <w:rPr>
          <w:rFonts w:ascii="Arial" w:hAnsi="Arial" w:cs="Arial"/>
          <w:sz w:val="22"/>
          <w:szCs w:val="22"/>
        </w:rPr>
        <w:t>’</w:t>
      </w:r>
      <w:r w:rsidRPr="00D42475">
        <w:rPr>
          <w:rFonts w:ascii="Arial" w:hAnsi="Arial" w:cs="Arial"/>
          <w:sz w:val="22"/>
          <w:szCs w:val="22"/>
        </w:rPr>
        <w:t>activités aux niveaux nation</w:t>
      </w:r>
      <w:r>
        <w:rPr>
          <w:rFonts w:ascii="Arial" w:hAnsi="Arial" w:cs="Arial"/>
          <w:sz w:val="22"/>
          <w:szCs w:val="22"/>
        </w:rPr>
        <w:t>al, régional ou international ;</w:t>
      </w:r>
    </w:p>
    <w:p w14:paraId="7AF5724C" w14:textId="2FB2A1B2" w:rsidR="00D42475" w:rsidRPr="00D42475" w:rsidRDefault="00D42475" w:rsidP="00D42475">
      <w:pPr>
        <w:pStyle w:val="ListParagraph"/>
        <w:numPr>
          <w:ilvl w:val="1"/>
          <w:numId w:val="52"/>
        </w:numPr>
        <w:spacing w:before="120" w:after="120"/>
        <w:ind w:left="1134" w:hanging="567"/>
        <w:contextualSpacing w:val="0"/>
        <w:jc w:val="both"/>
        <w:rPr>
          <w:rFonts w:ascii="Arial" w:hAnsi="Arial" w:cs="Arial"/>
          <w:sz w:val="22"/>
          <w:szCs w:val="22"/>
        </w:rPr>
      </w:pPr>
      <w:r w:rsidRPr="00D42475">
        <w:rPr>
          <w:rFonts w:ascii="Arial" w:hAnsi="Arial" w:cs="Arial"/>
          <w:sz w:val="22"/>
          <w:szCs w:val="22"/>
        </w:rPr>
        <w:t>Le renforcement des capacités des ONG serait important pour sensibiliser le public et participer à la Convention de 2003 ;</w:t>
      </w:r>
    </w:p>
    <w:p w14:paraId="352EB7DC" w14:textId="06DCFCE7" w:rsidR="00D42475" w:rsidRPr="00D42475" w:rsidRDefault="00D42475" w:rsidP="00D42475">
      <w:pPr>
        <w:pStyle w:val="ListParagraph"/>
        <w:numPr>
          <w:ilvl w:val="1"/>
          <w:numId w:val="52"/>
        </w:numPr>
        <w:spacing w:before="120" w:after="120"/>
        <w:ind w:left="1134" w:hanging="567"/>
        <w:contextualSpacing w:val="0"/>
        <w:jc w:val="both"/>
        <w:rPr>
          <w:rFonts w:ascii="Arial" w:hAnsi="Arial" w:cs="Arial"/>
          <w:sz w:val="22"/>
          <w:szCs w:val="22"/>
        </w:rPr>
      </w:pPr>
      <w:r w:rsidRPr="00D42475">
        <w:rPr>
          <w:rFonts w:ascii="Arial" w:hAnsi="Arial" w:cs="Arial"/>
          <w:sz w:val="22"/>
          <w:szCs w:val="22"/>
        </w:rPr>
        <w:t>Des incitations pourraient être envisagées pour remédier au manque d</w:t>
      </w:r>
      <w:r w:rsidR="00DD43FF">
        <w:rPr>
          <w:rFonts w:ascii="Arial" w:hAnsi="Arial" w:cs="Arial"/>
          <w:sz w:val="22"/>
          <w:szCs w:val="22"/>
        </w:rPr>
        <w:t>’</w:t>
      </w:r>
      <w:r w:rsidRPr="00D42475">
        <w:rPr>
          <w:rFonts w:ascii="Arial" w:hAnsi="Arial" w:cs="Arial"/>
          <w:sz w:val="22"/>
          <w:szCs w:val="22"/>
        </w:rPr>
        <w:t>équilibre géographique équitable dans le réseau des ONG et promouvoir la création d</w:t>
      </w:r>
      <w:r w:rsidR="00DD43FF">
        <w:rPr>
          <w:rFonts w:ascii="Arial" w:hAnsi="Arial" w:cs="Arial"/>
          <w:sz w:val="22"/>
          <w:szCs w:val="22"/>
        </w:rPr>
        <w:t>’</w:t>
      </w:r>
      <w:r w:rsidRPr="00D42475">
        <w:rPr>
          <w:rFonts w:ascii="Arial" w:hAnsi="Arial" w:cs="Arial"/>
          <w:sz w:val="22"/>
          <w:szCs w:val="22"/>
        </w:rPr>
        <w:t>ONG dans d</w:t>
      </w:r>
      <w:r w:rsidR="00DD43FF">
        <w:rPr>
          <w:rFonts w:ascii="Arial" w:hAnsi="Arial" w:cs="Arial"/>
          <w:sz w:val="22"/>
          <w:szCs w:val="22"/>
        </w:rPr>
        <w:t>’</w:t>
      </w:r>
      <w:r w:rsidRPr="00D42475">
        <w:rPr>
          <w:rFonts w:ascii="Arial" w:hAnsi="Arial" w:cs="Arial"/>
          <w:sz w:val="22"/>
          <w:szCs w:val="22"/>
        </w:rPr>
        <w:t>autres régions ;</w:t>
      </w:r>
    </w:p>
    <w:p w14:paraId="5C503C46" w14:textId="77777777" w:rsidR="00D42475" w:rsidRPr="00D42475" w:rsidRDefault="00D42475" w:rsidP="00D42475">
      <w:pPr>
        <w:pStyle w:val="ListParagraph"/>
        <w:numPr>
          <w:ilvl w:val="1"/>
          <w:numId w:val="52"/>
        </w:numPr>
        <w:spacing w:before="120" w:after="120"/>
        <w:ind w:left="1134" w:hanging="567"/>
        <w:contextualSpacing w:val="0"/>
        <w:jc w:val="both"/>
        <w:rPr>
          <w:rFonts w:ascii="Arial" w:hAnsi="Arial" w:cs="Arial"/>
          <w:sz w:val="22"/>
          <w:szCs w:val="22"/>
        </w:rPr>
      </w:pPr>
      <w:r w:rsidRPr="00D42475">
        <w:rPr>
          <w:rFonts w:ascii="Arial" w:hAnsi="Arial" w:cs="Arial"/>
          <w:sz w:val="22"/>
          <w:szCs w:val="22"/>
        </w:rPr>
        <w:t>La collaboration avec les centres de catégorie 2 a également été mentionnée comme un domaine à explorer susceptible de renforcer la collaboration avec les ONG accréditées ;</w:t>
      </w:r>
    </w:p>
    <w:p w14:paraId="0D2542F8" w14:textId="550A7721" w:rsidR="00D42475" w:rsidRPr="00D42475" w:rsidRDefault="00D42475" w:rsidP="00D42475">
      <w:pPr>
        <w:pStyle w:val="ListParagraph"/>
        <w:numPr>
          <w:ilvl w:val="1"/>
          <w:numId w:val="52"/>
        </w:numPr>
        <w:spacing w:before="120" w:after="120"/>
        <w:ind w:left="1134" w:hanging="567"/>
        <w:contextualSpacing w:val="0"/>
        <w:jc w:val="both"/>
        <w:rPr>
          <w:rFonts w:ascii="Arial" w:hAnsi="Arial" w:cs="Arial"/>
          <w:sz w:val="22"/>
          <w:szCs w:val="22"/>
        </w:rPr>
      </w:pPr>
      <w:r w:rsidRPr="00D42475">
        <w:rPr>
          <w:rFonts w:ascii="Arial" w:hAnsi="Arial" w:cs="Arial"/>
          <w:sz w:val="22"/>
          <w:szCs w:val="22"/>
        </w:rPr>
        <w:t>Il est nécessaire de définir les services consultatifs que les ONG accréditées peuvent fournir en outre de leur participation à l</w:t>
      </w:r>
      <w:r w:rsidR="00DD43FF">
        <w:rPr>
          <w:rFonts w:ascii="Arial" w:hAnsi="Arial" w:cs="Arial"/>
          <w:sz w:val="22"/>
          <w:szCs w:val="22"/>
        </w:rPr>
        <w:t>’</w:t>
      </w:r>
      <w:r w:rsidRPr="00D42475">
        <w:rPr>
          <w:rFonts w:ascii="Arial" w:hAnsi="Arial" w:cs="Arial"/>
          <w:sz w:val="22"/>
          <w:szCs w:val="22"/>
        </w:rPr>
        <w:t>organe d</w:t>
      </w:r>
      <w:r w:rsidR="00DD43FF">
        <w:rPr>
          <w:rFonts w:ascii="Arial" w:hAnsi="Arial" w:cs="Arial"/>
          <w:sz w:val="22"/>
          <w:szCs w:val="22"/>
        </w:rPr>
        <w:t>’</w:t>
      </w:r>
      <w:r w:rsidRPr="00D42475">
        <w:rPr>
          <w:rFonts w:ascii="Arial" w:hAnsi="Arial" w:cs="Arial"/>
          <w:sz w:val="22"/>
          <w:szCs w:val="22"/>
        </w:rPr>
        <w:t>évaluation en définissant l</w:t>
      </w:r>
      <w:r w:rsidR="00DD43FF">
        <w:rPr>
          <w:rFonts w:ascii="Arial" w:hAnsi="Arial" w:cs="Arial"/>
          <w:sz w:val="22"/>
          <w:szCs w:val="22"/>
        </w:rPr>
        <w:t>’</w:t>
      </w:r>
      <w:r w:rsidRPr="00D42475">
        <w:rPr>
          <w:rFonts w:ascii="Arial" w:hAnsi="Arial" w:cs="Arial"/>
          <w:sz w:val="22"/>
          <w:szCs w:val="22"/>
        </w:rPr>
        <w:t>utilisation du terme « entre autres » dans les directives opérationnelles. Parmi les idées proposées figurée la contribution au nouveau cadre de résultats intégré dans les rapports périodiques ;</w:t>
      </w:r>
    </w:p>
    <w:p w14:paraId="6986C908" w14:textId="0CC9E377" w:rsidR="00D42475" w:rsidRPr="00D42475" w:rsidRDefault="00D42475" w:rsidP="00D42475">
      <w:pPr>
        <w:pStyle w:val="ListParagraph"/>
        <w:numPr>
          <w:ilvl w:val="1"/>
          <w:numId w:val="52"/>
        </w:numPr>
        <w:spacing w:before="120" w:after="120"/>
        <w:ind w:left="1134" w:hanging="567"/>
        <w:contextualSpacing w:val="0"/>
        <w:jc w:val="both"/>
        <w:rPr>
          <w:rFonts w:ascii="Arial" w:hAnsi="Arial" w:cs="Arial"/>
          <w:sz w:val="22"/>
          <w:szCs w:val="22"/>
        </w:rPr>
      </w:pPr>
      <w:r w:rsidRPr="00D42475">
        <w:rPr>
          <w:rFonts w:ascii="Arial" w:hAnsi="Arial" w:cs="Arial"/>
          <w:sz w:val="22"/>
          <w:szCs w:val="22"/>
        </w:rPr>
        <w:t>Certains États membres ont manifesté leur intérêt pour l</w:t>
      </w:r>
      <w:r w:rsidR="00DD43FF">
        <w:rPr>
          <w:rFonts w:ascii="Arial" w:hAnsi="Arial" w:cs="Arial"/>
          <w:sz w:val="22"/>
          <w:szCs w:val="22"/>
        </w:rPr>
        <w:t>’</w:t>
      </w:r>
      <w:r w:rsidRPr="00D42475">
        <w:rPr>
          <w:rFonts w:ascii="Arial" w:hAnsi="Arial" w:cs="Arial"/>
          <w:sz w:val="22"/>
          <w:szCs w:val="22"/>
        </w:rPr>
        <w:t>élaboration d</w:t>
      </w:r>
      <w:r w:rsidR="00DD43FF">
        <w:rPr>
          <w:rFonts w:ascii="Arial" w:hAnsi="Arial" w:cs="Arial"/>
          <w:sz w:val="22"/>
          <w:szCs w:val="22"/>
        </w:rPr>
        <w:t>’</w:t>
      </w:r>
      <w:r w:rsidRPr="00D42475">
        <w:rPr>
          <w:rFonts w:ascii="Arial" w:hAnsi="Arial" w:cs="Arial"/>
          <w:sz w:val="22"/>
          <w:szCs w:val="22"/>
        </w:rPr>
        <w:t>un code de conduite pour les ONG accréditées. Le réseau d</w:t>
      </w:r>
      <w:r w:rsidR="00DD43FF">
        <w:rPr>
          <w:rFonts w:ascii="Arial" w:hAnsi="Arial" w:cs="Arial"/>
          <w:sz w:val="22"/>
          <w:szCs w:val="22"/>
        </w:rPr>
        <w:t>’</w:t>
      </w:r>
      <w:r w:rsidRPr="00D42475">
        <w:rPr>
          <w:rFonts w:ascii="Arial" w:hAnsi="Arial" w:cs="Arial"/>
          <w:sz w:val="22"/>
          <w:szCs w:val="22"/>
        </w:rPr>
        <w:t>ONG examinait cette question particulière par le biais d</w:t>
      </w:r>
      <w:r w:rsidR="00DD43FF">
        <w:rPr>
          <w:rFonts w:ascii="Arial" w:hAnsi="Arial" w:cs="Arial"/>
          <w:sz w:val="22"/>
          <w:szCs w:val="22"/>
        </w:rPr>
        <w:t>’</w:t>
      </w:r>
      <w:r w:rsidRPr="00D42475">
        <w:rPr>
          <w:rFonts w:ascii="Arial" w:hAnsi="Arial" w:cs="Arial"/>
          <w:sz w:val="22"/>
          <w:szCs w:val="22"/>
        </w:rPr>
        <w:t>un groupe de travail sur les principes éthiques pour la sauvegarde du PCI</w:t>
      </w:r>
      <w:r>
        <w:rPr>
          <w:rFonts w:ascii="Arial" w:hAnsi="Arial" w:cs="Arial"/>
          <w:sz w:val="22"/>
          <w:szCs w:val="22"/>
        </w:rPr>
        <w:t>.</w:t>
      </w:r>
    </w:p>
    <w:p w14:paraId="72DB26CC" w14:textId="1492AAA8" w:rsidR="00D42475" w:rsidRPr="00D42475" w:rsidRDefault="00D42475" w:rsidP="00D42475">
      <w:pPr>
        <w:spacing w:before="120" w:after="120"/>
        <w:jc w:val="both"/>
        <w:rPr>
          <w:rFonts w:ascii="Arial" w:hAnsi="Arial" w:cs="Arial"/>
          <w:b/>
          <w:sz w:val="22"/>
          <w:szCs w:val="22"/>
        </w:rPr>
      </w:pPr>
      <w:r w:rsidRPr="00D42475">
        <w:rPr>
          <w:rFonts w:ascii="Arial" w:hAnsi="Arial" w:cs="Arial"/>
          <w:b/>
          <w:sz w:val="22"/>
          <w:szCs w:val="22"/>
        </w:rPr>
        <w:t xml:space="preserve">Autres questions pour </w:t>
      </w:r>
      <w:r>
        <w:rPr>
          <w:rFonts w:ascii="Arial" w:hAnsi="Arial" w:cs="Arial"/>
          <w:b/>
          <w:sz w:val="22"/>
          <w:szCs w:val="22"/>
        </w:rPr>
        <w:t>faciliter les travaux du Comité</w:t>
      </w:r>
    </w:p>
    <w:p w14:paraId="5C6C59B7" w14:textId="7491B181" w:rsidR="00D42475" w:rsidRPr="00D42475" w:rsidRDefault="00D42475" w:rsidP="00D42475">
      <w:pPr>
        <w:pStyle w:val="ListParagraph"/>
        <w:numPr>
          <w:ilvl w:val="0"/>
          <w:numId w:val="52"/>
        </w:numPr>
        <w:spacing w:before="120" w:after="120"/>
        <w:ind w:left="567" w:hanging="567"/>
        <w:contextualSpacing w:val="0"/>
        <w:jc w:val="both"/>
        <w:rPr>
          <w:rFonts w:ascii="Arial" w:hAnsi="Arial" w:cs="Arial"/>
          <w:sz w:val="22"/>
          <w:szCs w:val="22"/>
        </w:rPr>
      </w:pPr>
      <w:r w:rsidRPr="00D42475">
        <w:rPr>
          <w:rFonts w:ascii="Arial" w:hAnsi="Arial" w:cs="Arial"/>
          <w:sz w:val="22"/>
          <w:szCs w:val="22"/>
        </w:rPr>
        <w:t>Le groupe de travail a convenu d</w:t>
      </w:r>
      <w:r w:rsidR="00DD43FF">
        <w:rPr>
          <w:rFonts w:ascii="Arial" w:hAnsi="Arial" w:cs="Arial"/>
          <w:sz w:val="22"/>
          <w:szCs w:val="22"/>
        </w:rPr>
        <w:t>’</w:t>
      </w:r>
      <w:r w:rsidRPr="00D42475">
        <w:rPr>
          <w:rFonts w:ascii="Arial" w:hAnsi="Arial" w:cs="Arial"/>
          <w:sz w:val="22"/>
          <w:szCs w:val="22"/>
        </w:rPr>
        <w:t xml:space="preserve">encourager le président du Comité à adopter la même procédure décisionnelle que celle utilisée lors de la douzième session du Comité à </w:t>
      </w:r>
      <w:proofErr w:type="spellStart"/>
      <w:r w:rsidRPr="00D42475">
        <w:rPr>
          <w:rFonts w:ascii="Arial" w:hAnsi="Arial" w:cs="Arial"/>
          <w:sz w:val="22"/>
          <w:szCs w:val="22"/>
        </w:rPr>
        <w:t>Jeju</w:t>
      </w:r>
      <w:proofErr w:type="spellEnd"/>
      <w:r w:rsidRPr="00D42475">
        <w:rPr>
          <w:rFonts w:ascii="Arial" w:hAnsi="Arial" w:cs="Arial"/>
          <w:sz w:val="22"/>
          <w:szCs w:val="22"/>
        </w:rPr>
        <w:t>, en République de Corée.</w:t>
      </w:r>
    </w:p>
    <w:p w14:paraId="43BABA31" w14:textId="37E71092" w:rsidR="00D42475" w:rsidRPr="00D42475" w:rsidRDefault="00D42475" w:rsidP="00D42475">
      <w:pPr>
        <w:pStyle w:val="ListParagraph"/>
        <w:numPr>
          <w:ilvl w:val="0"/>
          <w:numId w:val="52"/>
        </w:numPr>
        <w:spacing w:before="120" w:after="120"/>
        <w:ind w:left="567" w:hanging="567"/>
        <w:contextualSpacing w:val="0"/>
        <w:jc w:val="both"/>
        <w:rPr>
          <w:rFonts w:ascii="Arial" w:hAnsi="Arial" w:cs="Arial"/>
          <w:sz w:val="22"/>
          <w:szCs w:val="22"/>
        </w:rPr>
      </w:pPr>
      <w:r w:rsidRPr="00D42475">
        <w:rPr>
          <w:rFonts w:ascii="Arial" w:hAnsi="Arial" w:cs="Arial"/>
          <w:sz w:val="22"/>
          <w:szCs w:val="22"/>
        </w:rPr>
        <w:t>Le groupe de travail recommande que la nature de la liste représentative soit examinée dans le cadre d</w:t>
      </w:r>
      <w:r w:rsidR="00DD43FF">
        <w:rPr>
          <w:rFonts w:ascii="Arial" w:hAnsi="Arial" w:cs="Arial"/>
          <w:sz w:val="22"/>
          <w:szCs w:val="22"/>
        </w:rPr>
        <w:t>’</w:t>
      </w:r>
      <w:r w:rsidRPr="00D42475">
        <w:rPr>
          <w:rFonts w:ascii="Arial" w:hAnsi="Arial" w:cs="Arial"/>
          <w:sz w:val="22"/>
          <w:szCs w:val="22"/>
        </w:rPr>
        <w:t>experts intergouvernementaux à composition non limitée, car elle a des incidences sur un large éventail de questions émergentes pour l</w:t>
      </w:r>
      <w:r w:rsidR="00DD43FF">
        <w:rPr>
          <w:rFonts w:ascii="Arial" w:hAnsi="Arial" w:cs="Arial"/>
          <w:sz w:val="22"/>
          <w:szCs w:val="22"/>
        </w:rPr>
        <w:t>’</w:t>
      </w:r>
      <w:r w:rsidRPr="00D42475">
        <w:rPr>
          <w:rFonts w:ascii="Arial" w:hAnsi="Arial" w:cs="Arial"/>
          <w:sz w:val="22"/>
          <w:szCs w:val="22"/>
        </w:rPr>
        <w:t>avenir de la Convention, telles que le transfert d</w:t>
      </w:r>
      <w:r w:rsidR="00DD43FF">
        <w:rPr>
          <w:rFonts w:ascii="Arial" w:hAnsi="Arial" w:cs="Arial"/>
          <w:sz w:val="22"/>
          <w:szCs w:val="22"/>
        </w:rPr>
        <w:t>’</w:t>
      </w:r>
      <w:r w:rsidRPr="00D42475">
        <w:rPr>
          <w:rFonts w:ascii="Arial" w:hAnsi="Arial" w:cs="Arial"/>
          <w:sz w:val="22"/>
          <w:szCs w:val="22"/>
        </w:rPr>
        <w:t>éléments de la liste, suivi / surveillance des éléments après inscription, et évaluation des propositions d</w:t>
      </w:r>
      <w:r w:rsidR="00DD43FF">
        <w:rPr>
          <w:rFonts w:ascii="Arial" w:hAnsi="Arial" w:cs="Arial"/>
          <w:sz w:val="22"/>
          <w:szCs w:val="22"/>
        </w:rPr>
        <w:t>’</w:t>
      </w:r>
      <w:r w:rsidRPr="00D42475">
        <w:rPr>
          <w:rFonts w:ascii="Arial" w:hAnsi="Arial" w:cs="Arial"/>
          <w:sz w:val="22"/>
          <w:szCs w:val="22"/>
        </w:rPr>
        <w:t>inscription sur la Liste représentative.</w:t>
      </w:r>
    </w:p>
    <w:p w14:paraId="3D847536" w14:textId="77777777" w:rsidR="00D42475" w:rsidRPr="00D42475" w:rsidRDefault="00D42475" w:rsidP="00D42475">
      <w:pPr>
        <w:spacing w:before="120" w:after="120"/>
        <w:rPr>
          <w:rFonts w:ascii="Arial" w:hAnsi="Arial" w:cs="Arial"/>
          <w:b/>
          <w:sz w:val="22"/>
          <w:szCs w:val="22"/>
        </w:rPr>
      </w:pPr>
      <w:r w:rsidRPr="00D42475">
        <w:rPr>
          <w:rFonts w:ascii="Arial" w:hAnsi="Arial" w:cs="Arial"/>
          <w:b/>
          <w:sz w:val="22"/>
          <w:szCs w:val="22"/>
        </w:rPr>
        <w:t>Recommandations</w:t>
      </w:r>
    </w:p>
    <w:p w14:paraId="1D9167D2" w14:textId="77777777" w:rsidR="00D42475" w:rsidRPr="00D42475" w:rsidRDefault="00D42475" w:rsidP="00D42475">
      <w:pPr>
        <w:pStyle w:val="ListParagraph"/>
        <w:numPr>
          <w:ilvl w:val="0"/>
          <w:numId w:val="52"/>
        </w:numPr>
        <w:spacing w:before="120" w:after="120"/>
        <w:ind w:left="567" w:hanging="567"/>
        <w:contextualSpacing w:val="0"/>
        <w:jc w:val="both"/>
        <w:rPr>
          <w:rFonts w:ascii="Arial" w:hAnsi="Arial" w:cs="Arial"/>
          <w:sz w:val="22"/>
          <w:szCs w:val="22"/>
        </w:rPr>
      </w:pPr>
      <w:r w:rsidRPr="00D42475">
        <w:rPr>
          <w:rFonts w:ascii="Arial" w:hAnsi="Arial" w:cs="Arial"/>
          <w:sz w:val="22"/>
          <w:szCs w:val="22"/>
        </w:rPr>
        <w:t>Les coprésidents soumettent les recommandations suivantes sur la base des discussions du groupe de travail ad hoc:</w:t>
      </w:r>
    </w:p>
    <w:p w14:paraId="6E48968A" w14:textId="77777777" w:rsidR="00D42475" w:rsidRPr="00D42475" w:rsidRDefault="00D42475" w:rsidP="00D42475">
      <w:pPr>
        <w:spacing w:before="120" w:after="120"/>
        <w:ind w:left="567"/>
        <w:jc w:val="both"/>
        <w:rPr>
          <w:rFonts w:ascii="Arial" w:hAnsi="Arial" w:cs="Arial"/>
          <w:b/>
          <w:sz w:val="22"/>
          <w:szCs w:val="22"/>
        </w:rPr>
      </w:pPr>
      <w:r w:rsidRPr="00D42475">
        <w:rPr>
          <w:rFonts w:ascii="Arial" w:hAnsi="Arial" w:cs="Arial"/>
          <w:b/>
          <w:sz w:val="22"/>
          <w:szCs w:val="22"/>
        </w:rPr>
        <w:t xml:space="preserve">Mécanisme de financement de la Convention, y compris la mobilisation de ressources </w:t>
      </w:r>
    </w:p>
    <w:p w14:paraId="71C40F43" w14:textId="092810FA" w:rsidR="00D42475" w:rsidRPr="00D42475" w:rsidRDefault="00D42475" w:rsidP="00D42475">
      <w:pPr>
        <w:pStyle w:val="ListParagraph"/>
        <w:numPr>
          <w:ilvl w:val="0"/>
          <w:numId w:val="53"/>
        </w:numPr>
        <w:spacing w:before="120" w:after="120"/>
        <w:ind w:left="1134" w:hanging="567"/>
        <w:contextualSpacing w:val="0"/>
        <w:jc w:val="both"/>
        <w:rPr>
          <w:rFonts w:ascii="Arial" w:hAnsi="Arial" w:cs="Arial"/>
          <w:sz w:val="22"/>
          <w:szCs w:val="22"/>
        </w:rPr>
      </w:pPr>
      <w:r w:rsidRPr="00D42475">
        <w:rPr>
          <w:rFonts w:ascii="Arial" w:hAnsi="Arial" w:cs="Arial"/>
          <w:sz w:val="22"/>
          <w:szCs w:val="22"/>
        </w:rPr>
        <w:t>Le plan de communication en cours d</w:t>
      </w:r>
      <w:r w:rsidR="00DD43FF">
        <w:rPr>
          <w:rFonts w:ascii="Arial" w:hAnsi="Arial" w:cs="Arial"/>
          <w:sz w:val="22"/>
          <w:szCs w:val="22"/>
        </w:rPr>
        <w:t>’</w:t>
      </w:r>
      <w:r w:rsidRPr="00D42475">
        <w:rPr>
          <w:rFonts w:ascii="Arial" w:hAnsi="Arial" w:cs="Arial"/>
          <w:sz w:val="22"/>
          <w:szCs w:val="22"/>
        </w:rPr>
        <w:t>élaboration pour la Convention de 2003 vise à cibler les donateurs extrabudgétaires potentiels.</w:t>
      </w:r>
    </w:p>
    <w:p w14:paraId="098A632C" w14:textId="759170FE" w:rsidR="00D42475" w:rsidRPr="00D42475" w:rsidRDefault="00D42475" w:rsidP="00D42475">
      <w:pPr>
        <w:pStyle w:val="ListParagraph"/>
        <w:numPr>
          <w:ilvl w:val="0"/>
          <w:numId w:val="53"/>
        </w:numPr>
        <w:spacing w:before="120" w:after="120"/>
        <w:ind w:left="1134" w:hanging="567"/>
        <w:contextualSpacing w:val="0"/>
        <w:jc w:val="both"/>
        <w:rPr>
          <w:rFonts w:ascii="Arial" w:hAnsi="Arial" w:cs="Arial"/>
          <w:sz w:val="22"/>
          <w:szCs w:val="22"/>
        </w:rPr>
      </w:pPr>
      <w:r w:rsidRPr="00D42475">
        <w:rPr>
          <w:rFonts w:ascii="Arial" w:hAnsi="Arial" w:cs="Arial"/>
          <w:sz w:val="22"/>
          <w:szCs w:val="22"/>
        </w:rPr>
        <w:lastRenderedPageBreak/>
        <w:t xml:space="preserve">Le cadre de résultats global pourrait également être un outil de collecte de fonds en sensibilisant les parties prenantes au niveau national. La traduction des Directives opérationnelles dans les langues locales et nationales serait également importante pour </w:t>
      </w:r>
      <w:r>
        <w:rPr>
          <w:rFonts w:ascii="Arial" w:hAnsi="Arial" w:cs="Arial"/>
          <w:sz w:val="22"/>
          <w:szCs w:val="22"/>
        </w:rPr>
        <w:t>la mobilisation des ressources.</w:t>
      </w:r>
    </w:p>
    <w:p w14:paraId="1D0B3CC5" w14:textId="20904147" w:rsidR="00D42475" w:rsidRPr="00D42475" w:rsidRDefault="00D42475" w:rsidP="00D42475">
      <w:pPr>
        <w:pStyle w:val="ListParagraph"/>
        <w:numPr>
          <w:ilvl w:val="0"/>
          <w:numId w:val="53"/>
        </w:numPr>
        <w:spacing w:before="120" w:after="120"/>
        <w:ind w:left="1134" w:hanging="567"/>
        <w:contextualSpacing w:val="0"/>
        <w:jc w:val="both"/>
        <w:rPr>
          <w:rFonts w:ascii="Arial" w:hAnsi="Arial" w:cs="Arial"/>
          <w:sz w:val="22"/>
          <w:szCs w:val="22"/>
        </w:rPr>
      </w:pPr>
      <w:r w:rsidRPr="00D42475">
        <w:rPr>
          <w:rFonts w:ascii="Arial" w:hAnsi="Arial" w:cs="Arial"/>
          <w:sz w:val="22"/>
          <w:szCs w:val="22"/>
        </w:rPr>
        <w:t>Le Comité et les États parties jouent un rôle actif dans la recherche des moyens d</w:t>
      </w:r>
      <w:r w:rsidR="00DD43FF">
        <w:rPr>
          <w:rFonts w:ascii="Arial" w:hAnsi="Arial" w:cs="Arial"/>
          <w:sz w:val="22"/>
          <w:szCs w:val="22"/>
        </w:rPr>
        <w:t>’</w:t>
      </w:r>
      <w:r w:rsidRPr="00D42475">
        <w:rPr>
          <w:rFonts w:ascii="Arial" w:hAnsi="Arial" w:cs="Arial"/>
          <w:sz w:val="22"/>
          <w:szCs w:val="22"/>
        </w:rPr>
        <w:t>accroître les ressources, en particulier les fonds extrabudgétaires, conformément aux article</w:t>
      </w:r>
      <w:r>
        <w:rPr>
          <w:rFonts w:ascii="Arial" w:hAnsi="Arial" w:cs="Arial"/>
          <w:sz w:val="22"/>
          <w:szCs w:val="22"/>
        </w:rPr>
        <w:t>s 7, 25 et 28 de la Convention.</w:t>
      </w:r>
    </w:p>
    <w:p w14:paraId="5327045E" w14:textId="5723F551" w:rsidR="00D42475" w:rsidRPr="00D42475" w:rsidRDefault="00D42475" w:rsidP="00D42475">
      <w:pPr>
        <w:pStyle w:val="ListParagraph"/>
        <w:numPr>
          <w:ilvl w:val="0"/>
          <w:numId w:val="53"/>
        </w:numPr>
        <w:spacing w:before="120" w:after="120"/>
        <w:ind w:left="1134" w:hanging="567"/>
        <w:contextualSpacing w:val="0"/>
        <w:jc w:val="both"/>
        <w:rPr>
          <w:rFonts w:ascii="Arial" w:hAnsi="Arial" w:cs="Arial"/>
          <w:sz w:val="22"/>
          <w:szCs w:val="22"/>
        </w:rPr>
      </w:pPr>
      <w:r w:rsidRPr="00D42475">
        <w:rPr>
          <w:rFonts w:ascii="Arial" w:hAnsi="Arial" w:cs="Arial"/>
          <w:sz w:val="22"/>
          <w:szCs w:val="22"/>
        </w:rPr>
        <w:t>Etudier les expériences et les meilleures pratiques de la Convention de 1972, telles que l</w:t>
      </w:r>
      <w:r w:rsidR="00DD43FF">
        <w:rPr>
          <w:rFonts w:ascii="Arial" w:hAnsi="Arial" w:cs="Arial"/>
          <w:sz w:val="22"/>
          <w:szCs w:val="22"/>
        </w:rPr>
        <w:t>’</w:t>
      </w:r>
      <w:r w:rsidRPr="00D42475">
        <w:rPr>
          <w:rFonts w:ascii="Arial" w:hAnsi="Arial" w:cs="Arial"/>
          <w:sz w:val="22"/>
          <w:szCs w:val="22"/>
        </w:rPr>
        <w:t>élaboration d</w:t>
      </w:r>
      <w:r w:rsidR="00DD43FF">
        <w:rPr>
          <w:rFonts w:ascii="Arial" w:hAnsi="Arial" w:cs="Arial"/>
          <w:sz w:val="22"/>
          <w:szCs w:val="22"/>
        </w:rPr>
        <w:t>’</w:t>
      </w:r>
      <w:r w:rsidRPr="00D42475">
        <w:rPr>
          <w:rFonts w:ascii="Arial" w:hAnsi="Arial" w:cs="Arial"/>
          <w:sz w:val="22"/>
          <w:szCs w:val="22"/>
        </w:rPr>
        <w:t xml:space="preserve">une stratégie de partenariat, le Forum pour les projets nécessitant un financement et la feuille de route pour la durabilité </w:t>
      </w:r>
      <w:r>
        <w:rPr>
          <w:rFonts w:ascii="Arial" w:hAnsi="Arial" w:cs="Arial"/>
          <w:sz w:val="22"/>
          <w:szCs w:val="22"/>
        </w:rPr>
        <w:t>du Fonds du patrimoine mondial.</w:t>
      </w:r>
    </w:p>
    <w:p w14:paraId="1ADF69D6" w14:textId="634ACEF7" w:rsidR="00D42475" w:rsidRPr="00D42475" w:rsidRDefault="00D42475" w:rsidP="00D42475">
      <w:pPr>
        <w:pStyle w:val="ListParagraph"/>
        <w:numPr>
          <w:ilvl w:val="0"/>
          <w:numId w:val="53"/>
        </w:numPr>
        <w:spacing w:before="120" w:after="120"/>
        <w:ind w:left="1134" w:hanging="567"/>
        <w:contextualSpacing w:val="0"/>
        <w:jc w:val="both"/>
        <w:rPr>
          <w:rFonts w:ascii="Arial" w:hAnsi="Arial" w:cs="Arial"/>
          <w:sz w:val="22"/>
          <w:szCs w:val="22"/>
        </w:rPr>
      </w:pPr>
      <w:r w:rsidRPr="00D42475">
        <w:rPr>
          <w:rFonts w:ascii="Arial" w:hAnsi="Arial" w:cs="Arial"/>
          <w:sz w:val="22"/>
          <w:szCs w:val="22"/>
        </w:rPr>
        <w:t>Organiser des événements parallèles de collecte de fonds en marge des sessions du Comité et / ou de l</w:t>
      </w:r>
      <w:r w:rsidR="00DD43FF">
        <w:rPr>
          <w:rFonts w:ascii="Arial" w:hAnsi="Arial" w:cs="Arial"/>
          <w:sz w:val="22"/>
          <w:szCs w:val="22"/>
        </w:rPr>
        <w:t>’</w:t>
      </w:r>
      <w:r w:rsidRPr="00D42475">
        <w:rPr>
          <w:rFonts w:ascii="Arial" w:hAnsi="Arial" w:cs="Arial"/>
          <w:sz w:val="22"/>
          <w:szCs w:val="22"/>
        </w:rPr>
        <w:t>Assemblée générale, en coopération avec les pays hôtes ou un groupe informel d</w:t>
      </w:r>
      <w:r w:rsidR="00DD43FF">
        <w:rPr>
          <w:rFonts w:ascii="Arial" w:hAnsi="Arial" w:cs="Arial"/>
          <w:sz w:val="22"/>
          <w:szCs w:val="22"/>
        </w:rPr>
        <w:t>’</w:t>
      </w:r>
      <w:r>
        <w:rPr>
          <w:rFonts w:ascii="Arial" w:hAnsi="Arial" w:cs="Arial"/>
          <w:sz w:val="22"/>
          <w:szCs w:val="22"/>
        </w:rPr>
        <w:t>États parties intéressés.</w:t>
      </w:r>
    </w:p>
    <w:p w14:paraId="07EBE880" w14:textId="14705327" w:rsidR="00D42475" w:rsidRPr="00D42475" w:rsidRDefault="00D42475" w:rsidP="00D42475">
      <w:pPr>
        <w:pStyle w:val="ListParagraph"/>
        <w:numPr>
          <w:ilvl w:val="0"/>
          <w:numId w:val="53"/>
        </w:numPr>
        <w:spacing w:before="120" w:after="120"/>
        <w:ind w:left="1134" w:hanging="567"/>
        <w:contextualSpacing w:val="0"/>
        <w:jc w:val="both"/>
        <w:rPr>
          <w:rFonts w:ascii="Arial" w:hAnsi="Arial" w:cs="Arial"/>
          <w:sz w:val="22"/>
          <w:szCs w:val="22"/>
        </w:rPr>
      </w:pPr>
      <w:r w:rsidRPr="00D42475">
        <w:rPr>
          <w:rFonts w:ascii="Arial" w:hAnsi="Arial" w:cs="Arial"/>
          <w:sz w:val="22"/>
          <w:szCs w:val="22"/>
        </w:rPr>
        <w:t>D</w:t>
      </w:r>
      <w:r w:rsidR="00DD43FF">
        <w:rPr>
          <w:rFonts w:ascii="Arial" w:hAnsi="Arial" w:cs="Arial"/>
          <w:sz w:val="22"/>
          <w:szCs w:val="22"/>
        </w:rPr>
        <w:t>’</w:t>
      </w:r>
      <w:r w:rsidRPr="00D42475">
        <w:rPr>
          <w:rFonts w:ascii="Arial" w:hAnsi="Arial" w:cs="Arial"/>
          <w:sz w:val="22"/>
          <w:szCs w:val="22"/>
        </w:rPr>
        <w:t>intégrer la sauvegarde du PCI dans le forum des partenaires de l</w:t>
      </w:r>
      <w:r w:rsidR="00DD43FF">
        <w:rPr>
          <w:rFonts w:ascii="Arial" w:hAnsi="Arial" w:cs="Arial"/>
          <w:sz w:val="22"/>
          <w:szCs w:val="22"/>
        </w:rPr>
        <w:t>’</w:t>
      </w:r>
      <w:r>
        <w:rPr>
          <w:rFonts w:ascii="Arial" w:hAnsi="Arial" w:cs="Arial"/>
          <w:sz w:val="22"/>
          <w:szCs w:val="22"/>
        </w:rPr>
        <w:t>UNESCO.</w:t>
      </w:r>
    </w:p>
    <w:p w14:paraId="296F475C" w14:textId="16E84208" w:rsidR="00D42475" w:rsidRPr="00D42475" w:rsidRDefault="00D42475" w:rsidP="00D42475">
      <w:pPr>
        <w:spacing w:before="120" w:after="120"/>
        <w:ind w:left="567"/>
        <w:jc w:val="both"/>
        <w:rPr>
          <w:rFonts w:ascii="Arial" w:hAnsi="Arial" w:cs="Arial"/>
          <w:b/>
          <w:sz w:val="22"/>
          <w:szCs w:val="22"/>
        </w:rPr>
      </w:pPr>
      <w:r w:rsidRPr="00D42475">
        <w:rPr>
          <w:rFonts w:ascii="Arial" w:hAnsi="Arial" w:cs="Arial"/>
          <w:b/>
          <w:sz w:val="22"/>
          <w:szCs w:val="22"/>
        </w:rPr>
        <w:t>Mise en œuvre des recommandations pertinentes du Groupe de travail à composition non limitée sur la gouvernance, les procédures et les méthodes de travail des organes directeurs de l</w:t>
      </w:r>
      <w:r w:rsidR="00DD43FF">
        <w:rPr>
          <w:rFonts w:ascii="Arial" w:hAnsi="Arial" w:cs="Arial"/>
          <w:b/>
          <w:sz w:val="22"/>
          <w:szCs w:val="22"/>
        </w:rPr>
        <w:t>’</w:t>
      </w:r>
      <w:r w:rsidRPr="00D42475">
        <w:rPr>
          <w:rFonts w:ascii="Arial" w:hAnsi="Arial" w:cs="Arial"/>
          <w:b/>
          <w:sz w:val="22"/>
          <w:szCs w:val="22"/>
        </w:rPr>
        <w:t>UNESCO, adoptées à la 39</w:t>
      </w:r>
      <w:r w:rsidRPr="00D42475">
        <w:rPr>
          <w:rFonts w:ascii="Arial" w:hAnsi="Arial" w:cs="Arial"/>
          <w:b/>
          <w:sz w:val="22"/>
          <w:szCs w:val="22"/>
          <w:vertAlign w:val="superscript"/>
        </w:rPr>
        <w:t>e</w:t>
      </w:r>
      <w:r w:rsidRPr="00D42475">
        <w:rPr>
          <w:rFonts w:ascii="Arial" w:hAnsi="Arial" w:cs="Arial"/>
          <w:b/>
          <w:sz w:val="22"/>
          <w:szCs w:val="22"/>
        </w:rPr>
        <w:t xml:space="preserve"> session de la Conférence générale</w:t>
      </w:r>
    </w:p>
    <w:p w14:paraId="0DB7C352" w14:textId="60D8E752" w:rsidR="00D42475" w:rsidRPr="00D42475" w:rsidRDefault="00D42475" w:rsidP="00D42475">
      <w:pPr>
        <w:pStyle w:val="ListParagraph"/>
        <w:numPr>
          <w:ilvl w:val="0"/>
          <w:numId w:val="53"/>
        </w:numPr>
        <w:spacing w:before="120" w:after="120"/>
        <w:ind w:left="1134" w:hanging="567"/>
        <w:contextualSpacing w:val="0"/>
        <w:jc w:val="both"/>
        <w:rPr>
          <w:rFonts w:ascii="Arial" w:hAnsi="Arial" w:cs="Arial"/>
          <w:sz w:val="22"/>
          <w:szCs w:val="22"/>
        </w:rPr>
      </w:pPr>
      <w:r w:rsidRPr="00D42475">
        <w:rPr>
          <w:rFonts w:ascii="Arial" w:hAnsi="Arial" w:cs="Arial"/>
          <w:sz w:val="22"/>
          <w:szCs w:val="22"/>
        </w:rPr>
        <w:t>L</w:t>
      </w:r>
      <w:r w:rsidR="00DD43FF">
        <w:rPr>
          <w:rFonts w:ascii="Arial" w:hAnsi="Arial" w:cs="Arial"/>
          <w:sz w:val="22"/>
          <w:szCs w:val="22"/>
        </w:rPr>
        <w:t>’</w:t>
      </w:r>
      <w:r w:rsidRPr="00D42475">
        <w:rPr>
          <w:rFonts w:ascii="Arial" w:hAnsi="Arial" w:cs="Arial"/>
          <w:sz w:val="22"/>
          <w:szCs w:val="22"/>
        </w:rPr>
        <w:t>organisation d</w:t>
      </w:r>
      <w:r w:rsidR="00DD43FF">
        <w:rPr>
          <w:rFonts w:ascii="Arial" w:hAnsi="Arial" w:cs="Arial"/>
          <w:sz w:val="22"/>
          <w:szCs w:val="22"/>
        </w:rPr>
        <w:t>’</w:t>
      </w:r>
      <w:r w:rsidRPr="00D42475">
        <w:rPr>
          <w:rFonts w:ascii="Arial" w:hAnsi="Arial" w:cs="Arial"/>
          <w:sz w:val="22"/>
          <w:szCs w:val="22"/>
        </w:rPr>
        <w:t>une session d</w:t>
      </w:r>
      <w:r w:rsidR="00DD43FF">
        <w:rPr>
          <w:rFonts w:ascii="Arial" w:hAnsi="Arial" w:cs="Arial"/>
          <w:sz w:val="22"/>
          <w:szCs w:val="22"/>
        </w:rPr>
        <w:t>’</w:t>
      </w:r>
      <w:r w:rsidRPr="00D42475">
        <w:rPr>
          <w:rFonts w:ascii="Arial" w:hAnsi="Arial" w:cs="Arial"/>
          <w:sz w:val="22"/>
          <w:szCs w:val="22"/>
        </w:rPr>
        <w:t>orientation pour les nouveaux membres du Comité en octobre 2018 a été vivement ap</w:t>
      </w:r>
      <w:r>
        <w:rPr>
          <w:rFonts w:ascii="Arial" w:hAnsi="Arial" w:cs="Arial"/>
          <w:sz w:val="22"/>
          <w:szCs w:val="22"/>
        </w:rPr>
        <w:t>préciée.</w:t>
      </w:r>
    </w:p>
    <w:p w14:paraId="5DCCCF2B" w14:textId="385BD99B" w:rsidR="00D42475" w:rsidRPr="00D42475" w:rsidRDefault="00D42475" w:rsidP="00D42475">
      <w:pPr>
        <w:pStyle w:val="ListParagraph"/>
        <w:numPr>
          <w:ilvl w:val="0"/>
          <w:numId w:val="53"/>
        </w:numPr>
        <w:spacing w:before="120" w:after="120"/>
        <w:ind w:left="1134" w:hanging="567"/>
        <w:contextualSpacing w:val="0"/>
        <w:jc w:val="both"/>
        <w:rPr>
          <w:rFonts w:ascii="Arial" w:hAnsi="Arial" w:cs="Arial"/>
          <w:sz w:val="22"/>
          <w:szCs w:val="22"/>
        </w:rPr>
      </w:pPr>
      <w:r w:rsidRPr="00D42475">
        <w:rPr>
          <w:rFonts w:ascii="Arial" w:hAnsi="Arial" w:cs="Arial"/>
          <w:sz w:val="22"/>
          <w:szCs w:val="22"/>
        </w:rPr>
        <w:t>D</w:t>
      </w:r>
      <w:r w:rsidR="00DD43FF">
        <w:rPr>
          <w:rFonts w:ascii="Arial" w:hAnsi="Arial" w:cs="Arial"/>
          <w:sz w:val="22"/>
          <w:szCs w:val="22"/>
        </w:rPr>
        <w:t>’</w:t>
      </w:r>
      <w:r w:rsidRPr="00D42475">
        <w:rPr>
          <w:rFonts w:ascii="Arial" w:hAnsi="Arial" w:cs="Arial"/>
          <w:sz w:val="22"/>
          <w:szCs w:val="22"/>
        </w:rPr>
        <w:t>encourager les membres du Comité et les États parties de promouvoir une prise de décision inclusive et efficace, en menant de larges consultations avant les sessions du Comité sur les questions c</w:t>
      </w:r>
      <w:r>
        <w:rPr>
          <w:rFonts w:ascii="Arial" w:hAnsi="Arial" w:cs="Arial"/>
          <w:sz w:val="22"/>
          <w:szCs w:val="22"/>
        </w:rPr>
        <w:t>lés et les projets de décision.</w:t>
      </w:r>
    </w:p>
    <w:p w14:paraId="15348F2C" w14:textId="448FD57B" w:rsidR="00D42475" w:rsidRPr="00D42475" w:rsidRDefault="00D42475" w:rsidP="00D42475">
      <w:pPr>
        <w:pStyle w:val="ListParagraph"/>
        <w:numPr>
          <w:ilvl w:val="0"/>
          <w:numId w:val="53"/>
        </w:numPr>
        <w:spacing w:before="120" w:after="120"/>
        <w:ind w:left="1134" w:hanging="567"/>
        <w:contextualSpacing w:val="0"/>
        <w:jc w:val="both"/>
        <w:rPr>
          <w:rFonts w:ascii="Arial" w:hAnsi="Arial" w:cs="Arial"/>
          <w:sz w:val="22"/>
          <w:szCs w:val="22"/>
        </w:rPr>
      </w:pPr>
      <w:r w:rsidRPr="00D42475">
        <w:rPr>
          <w:rFonts w:ascii="Arial" w:hAnsi="Arial" w:cs="Arial"/>
          <w:sz w:val="22"/>
          <w:szCs w:val="22"/>
        </w:rPr>
        <w:t>Que le Comité prenne connaissance de la recommandation 67 sur l</w:t>
      </w:r>
      <w:r w:rsidR="00DD43FF">
        <w:rPr>
          <w:rFonts w:ascii="Arial" w:hAnsi="Arial" w:cs="Arial"/>
          <w:sz w:val="22"/>
          <w:szCs w:val="22"/>
        </w:rPr>
        <w:t>’</w:t>
      </w:r>
      <w:r w:rsidRPr="00D42475">
        <w:rPr>
          <w:rFonts w:ascii="Arial" w:hAnsi="Arial" w:cs="Arial"/>
          <w:sz w:val="22"/>
          <w:szCs w:val="22"/>
        </w:rPr>
        <w:t>harmonisation</w:t>
      </w:r>
      <w:r>
        <w:rPr>
          <w:rFonts w:ascii="Arial" w:hAnsi="Arial" w:cs="Arial"/>
          <w:sz w:val="22"/>
          <w:szCs w:val="22"/>
        </w:rPr>
        <w:t xml:space="preserve"> de la composition des bureaux.</w:t>
      </w:r>
    </w:p>
    <w:p w14:paraId="1C6549B4" w14:textId="0C7F72C8" w:rsidR="00D42475" w:rsidRPr="00D42475" w:rsidRDefault="00D42475" w:rsidP="00D42475">
      <w:pPr>
        <w:pStyle w:val="ListParagraph"/>
        <w:numPr>
          <w:ilvl w:val="0"/>
          <w:numId w:val="53"/>
        </w:numPr>
        <w:spacing w:before="120" w:after="120"/>
        <w:ind w:left="1134" w:hanging="567"/>
        <w:contextualSpacing w:val="0"/>
        <w:jc w:val="both"/>
        <w:rPr>
          <w:rFonts w:ascii="Arial" w:hAnsi="Arial" w:cs="Arial"/>
          <w:sz w:val="22"/>
          <w:szCs w:val="22"/>
        </w:rPr>
      </w:pPr>
      <w:r w:rsidRPr="00D42475">
        <w:rPr>
          <w:rFonts w:ascii="Arial" w:hAnsi="Arial" w:cs="Arial"/>
          <w:sz w:val="22"/>
          <w:szCs w:val="22"/>
        </w:rPr>
        <w:t>Que les membres du Bureau de tenir informer et de consulter régulièrement les États parties de leur région sur les points de l</w:t>
      </w:r>
      <w:r w:rsidR="00DD43FF">
        <w:rPr>
          <w:rFonts w:ascii="Arial" w:hAnsi="Arial" w:cs="Arial"/>
          <w:sz w:val="22"/>
          <w:szCs w:val="22"/>
        </w:rPr>
        <w:t>’</w:t>
      </w:r>
      <w:r>
        <w:rPr>
          <w:rFonts w:ascii="Arial" w:hAnsi="Arial" w:cs="Arial"/>
          <w:sz w:val="22"/>
          <w:szCs w:val="22"/>
        </w:rPr>
        <w:t>ordre du jour du Comité.</w:t>
      </w:r>
    </w:p>
    <w:p w14:paraId="65BBC11F" w14:textId="30B1C6CA" w:rsidR="00D42475" w:rsidRPr="00D42475" w:rsidRDefault="00D42475" w:rsidP="00D42475">
      <w:pPr>
        <w:spacing w:before="120" w:after="120"/>
        <w:ind w:left="567"/>
        <w:jc w:val="both"/>
        <w:rPr>
          <w:rFonts w:ascii="Arial" w:hAnsi="Arial" w:cs="Arial"/>
          <w:b/>
          <w:sz w:val="22"/>
          <w:szCs w:val="22"/>
        </w:rPr>
      </w:pPr>
      <w:r w:rsidRPr="00D42475">
        <w:rPr>
          <w:rFonts w:ascii="Arial" w:hAnsi="Arial" w:cs="Arial"/>
          <w:b/>
          <w:sz w:val="22"/>
          <w:szCs w:val="22"/>
        </w:rPr>
        <w:t>Réflexion sur un mécanisme de « dialogue » approprié, en consultation avec l</w:t>
      </w:r>
      <w:r w:rsidR="00DD43FF">
        <w:rPr>
          <w:rFonts w:ascii="Arial" w:hAnsi="Arial" w:cs="Arial"/>
          <w:b/>
          <w:sz w:val="22"/>
          <w:szCs w:val="22"/>
        </w:rPr>
        <w:t>’</w:t>
      </w:r>
      <w:r w:rsidRPr="00D42475">
        <w:rPr>
          <w:rFonts w:ascii="Arial" w:hAnsi="Arial" w:cs="Arial"/>
          <w:b/>
          <w:sz w:val="22"/>
          <w:szCs w:val="22"/>
        </w:rPr>
        <w:t>organe d</w:t>
      </w:r>
      <w:r w:rsidR="00DD43FF">
        <w:rPr>
          <w:rFonts w:ascii="Arial" w:hAnsi="Arial" w:cs="Arial"/>
          <w:b/>
          <w:sz w:val="22"/>
          <w:szCs w:val="22"/>
        </w:rPr>
        <w:t>’</w:t>
      </w:r>
      <w:r w:rsidRPr="00D42475">
        <w:rPr>
          <w:rFonts w:ascii="Arial" w:hAnsi="Arial" w:cs="Arial"/>
          <w:b/>
          <w:sz w:val="22"/>
          <w:szCs w:val="22"/>
        </w:rPr>
        <w:t>évaluation, en tenant compte des résolutions respectives de l</w:t>
      </w:r>
      <w:r w:rsidR="00DD43FF">
        <w:rPr>
          <w:rFonts w:ascii="Arial" w:hAnsi="Arial" w:cs="Arial"/>
          <w:b/>
          <w:sz w:val="22"/>
          <w:szCs w:val="22"/>
        </w:rPr>
        <w:t>’</w:t>
      </w:r>
      <w:r w:rsidRPr="00D42475">
        <w:rPr>
          <w:rFonts w:ascii="Arial" w:hAnsi="Arial" w:cs="Arial"/>
          <w:b/>
          <w:sz w:val="22"/>
          <w:szCs w:val="22"/>
        </w:rPr>
        <w:t>Assemblée générale</w:t>
      </w:r>
    </w:p>
    <w:p w14:paraId="6EECA264" w14:textId="18BEC000" w:rsidR="00D42475" w:rsidRPr="00D42475" w:rsidRDefault="00D42475" w:rsidP="00D42475">
      <w:pPr>
        <w:pStyle w:val="ListParagraph"/>
        <w:numPr>
          <w:ilvl w:val="0"/>
          <w:numId w:val="53"/>
        </w:numPr>
        <w:spacing w:before="120" w:after="120"/>
        <w:ind w:left="1134" w:hanging="567"/>
        <w:contextualSpacing w:val="0"/>
        <w:jc w:val="both"/>
        <w:rPr>
          <w:rFonts w:ascii="Arial" w:hAnsi="Arial" w:cs="Arial"/>
          <w:sz w:val="22"/>
          <w:szCs w:val="22"/>
        </w:rPr>
      </w:pPr>
      <w:r w:rsidRPr="00D42475">
        <w:rPr>
          <w:rFonts w:ascii="Arial" w:hAnsi="Arial" w:cs="Arial"/>
          <w:sz w:val="22"/>
          <w:szCs w:val="22"/>
        </w:rPr>
        <w:t>Le groupe de travail recommande de poursuivre les consultations avec l</w:t>
      </w:r>
      <w:r w:rsidR="00DD43FF">
        <w:rPr>
          <w:rFonts w:ascii="Arial" w:hAnsi="Arial" w:cs="Arial"/>
          <w:sz w:val="22"/>
          <w:szCs w:val="22"/>
        </w:rPr>
        <w:t>’</w:t>
      </w:r>
      <w:r w:rsidRPr="00D42475">
        <w:rPr>
          <w:rFonts w:ascii="Arial" w:hAnsi="Arial" w:cs="Arial"/>
          <w:sz w:val="22"/>
          <w:szCs w:val="22"/>
        </w:rPr>
        <w:t>organe d</w:t>
      </w:r>
      <w:r w:rsidR="00DD43FF">
        <w:rPr>
          <w:rFonts w:ascii="Arial" w:hAnsi="Arial" w:cs="Arial"/>
          <w:sz w:val="22"/>
          <w:szCs w:val="22"/>
        </w:rPr>
        <w:t>’</w:t>
      </w:r>
      <w:r w:rsidRPr="00D42475">
        <w:rPr>
          <w:rFonts w:ascii="Arial" w:hAnsi="Arial" w:cs="Arial"/>
          <w:sz w:val="22"/>
          <w:szCs w:val="22"/>
        </w:rPr>
        <w:t>évaluation en vue de définir un m</w:t>
      </w:r>
      <w:r>
        <w:rPr>
          <w:rFonts w:ascii="Arial" w:hAnsi="Arial" w:cs="Arial"/>
          <w:sz w:val="22"/>
          <w:szCs w:val="22"/>
        </w:rPr>
        <w:t>écanisme de dialogue approprié.</w:t>
      </w:r>
    </w:p>
    <w:p w14:paraId="071ED842" w14:textId="56E3722D" w:rsidR="00D42475" w:rsidRPr="00D42475" w:rsidRDefault="00D42475" w:rsidP="00D42475">
      <w:pPr>
        <w:spacing w:before="120" w:after="120"/>
        <w:ind w:left="567"/>
        <w:jc w:val="both"/>
        <w:rPr>
          <w:rFonts w:ascii="Arial" w:hAnsi="Arial" w:cs="Arial"/>
          <w:b/>
          <w:sz w:val="22"/>
          <w:szCs w:val="22"/>
          <w:shd w:val="clear" w:color="auto" w:fill="FFFFFF"/>
        </w:rPr>
      </w:pPr>
      <w:r w:rsidRPr="00D42475">
        <w:rPr>
          <w:rFonts w:ascii="Arial" w:hAnsi="Arial" w:cs="Arial"/>
          <w:b/>
          <w:sz w:val="22"/>
          <w:szCs w:val="22"/>
          <w:shd w:val="clear" w:color="auto" w:fill="FFFFFF"/>
        </w:rPr>
        <w:t xml:space="preserve">Réflexion, en consultation avec les ONG accréditées, aux différentes façons possibles de renforcer encore davantage la participation des ONG dans le cadre de la Convention de 2003 et à la manière dont cette </w:t>
      </w:r>
      <w:r w:rsidRPr="00D42475">
        <w:rPr>
          <w:rFonts w:ascii="Arial" w:hAnsi="Arial" w:cs="Arial"/>
          <w:b/>
          <w:sz w:val="22"/>
          <w:szCs w:val="22"/>
        </w:rPr>
        <w:t>amélioration</w:t>
      </w:r>
      <w:r w:rsidRPr="00D42475">
        <w:rPr>
          <w:rFonts w:ascii="Arial" w:hAnsi="Arial" w:cs="Arial"/>
          <w:b/>
          <w:sz w:val="22"/>
          <w:szCs w:val="22"/>
          <w:shd w:val="clear" w:color="auto" w:fill="FFFFFF"/>
        </w:rPr>
        <w:t xml:space="preserve"> pourrait se refléter dans les mécanismes d</w:t>
      </w:r>
      <w:r w:rsidR="00DD43FF">
        <w:rPr>
          <w:rFonts w:ascii="Arial" w:hAnsi="Arial" w:cs="Arial"/>
          <w:b/>
          <w:sz w:val="22"/>
          <w:szCs w:val="22"/>
          <w:shd w:val="clear" w:color="auto" w:fill="FFFFFF"/>
        </w:rPr>
        <w:t>’</w:t>
      </w:r>
      <w:r w:rsidRPr="00D42475">
        <w:rPr>
          <w:rFonts w:ascii="Arial" w:hAnsi="Arial" w:cs="Arial"/>
          <w:b/>
          <w:sz w:val="22"/>
          <w:szCs w:val="22"/>
          <w:shd w:val="clear" w:color="auto" w:fill="FFFFFF"/>
        </w:rPr>
        <w:t>accréditation et de renouvellement des organisations non gouvernementale</w:t>
      </w:r>
    </w:p>
    <w:p w14:paraId="455B0E41" w14:textId="311772FC" w:rsidR="00D42475" w:rsidRPr="00D42475" w:rsidRDefault="00D42475" w:rsidP="00D42475">
      <w:pPr>
        <w:pStyle w:val="ListParagraph"/>
        <w:numPr>
          <w:ilvl w:val="0"/>
          <w:numId w:val="53"/>
        </w:numPr>
        <w:spacing w:before="120" w:after="120"/>
        <w:ind w:left="1134" w:hanging="567"/>
        <w:contextualSpacing w:val="0"/>
        <w:jc w:val="both"/>
        <w:rPr>
          <w:rFonts w:ascii="Arial" w:hAnsi="Arial" w:cs="Arial"/>
          <w:sz w:val="22"/>
          <w:szCs w:val="22"/>
        </w:rPr>
      </w:pPr>
      <w:r w:rsidRPr="00D42475">
        <w:rPr>
          <w:rFonts w:ascii="Arial" w:hAnsi="Arial" w:cs="Arial"/>
          <w:sz w:val="22"/>
          <w:szCs w:val="22"/>
        </w:rPr>
        <w:t>Le groupe a pris note du lancement d</w:t>
      </w:r>
      <w:r w:rsidR="00DD43FF">
        <w:rPr>
          <w:rFonts w:ascii="Arial" w:hAnsi="Arial" w:cs="Arial"/>
          <w:sz w:val="22"/>
          <w:szCs w:val="22"/>
        </w:rPr>
        <w:t>’</w:t>
      </w:r>
      <w:r w:rsidRPr="00D42475">
        <w:rPr>
          <w:rFonts w:ascii="Arial" w:hAnsi="Arial" w:cs="Arial"/>
          <w:sz w:val="22"/>
          <w:szCs w:val="22"/>
        </w:rPr>
        <w:t>un processus de réflexion de deux ans sur cette question et continuera à contribuer au processus, comme l</w:t>
      </w:r>
      <w:r w:rsidR="00DD43FF">
        <w:rPr>
          <w:rFonts w:ascii="Arial" w:hAnsi="Arial" w:cs="Arial"/>
          <w:sz w:val="22"/>
          <w:szCs w:val="22"/>
        </w:rPr>
        <w:t>’</w:t>
      </w:r>
      <w:r w:rsidRPr="00D42475">
        <w:rPr>
          <w:rFonts w:ascii="Arial" w:hAnsi="Arial" w:cs="Arial"/>
          <w:sz w:val="22"/>
          <w:szCs w:val="22"/>
        </w:rPr>
        <w:t>a décidé l</w:t>
      </w:r>
      <w:r w:rsidR="00DD43FF">
        <w:rPr>
          <w:rFonts w:ascii="Arial" w:hAnsi="Arial" w:cs="Arial"/>
          <w:sz w:val="22"/>
          <w:szCs w:val="22"/>
        </w:rPr>
        <w:t>’</w:t>
      </w:r>
      <w:r w:rsidRPr="00D42475">
        <w:rPr>
          <w:rFonts w:ascii="Arial" w:hAnsi="Arial" w:cs="Arial"/>
          <w:sz w:val="22"/>
          <w:szCs w:val="22"/>
        </w:rPr>
        <w:t>Assemblée générale dans sa résolution 7 GA.11 et l</w:t>
      </w:r>
      <w:r>
        <w:rPr>
          <w:rFonts w:ascii="Arial" w:hAnsi="Arial" w:cs="Arial"/>
          <w:sz w:val="22"/>
          <w:szCs w:val="22"/>
        </w:rPr>
        <w:t>e Comité par sa décision 12.COM.</w:t>
      </w:r>
    </w:p>
    <w:p w14:paraId="513EA8E2" w14:textId="77777777" w:rsidR="00D42475" w:rsidRPr="00D42475" w:rsidRDefault="00D42475" w:rsidP="00D42475">
      <w:pPr>
        <w:spacing w:before="120" w:after="120"/>
        <w:ind w:left="567"/>
        <w:jc w:val="both"/>
        <w:rPr>
          <w:rFonts w:ascii="Arial" w:hAnsi="Arial" w:cs="Arial"/>
          <w:b/>
          <w:sz w:val="22"/>
          <w:szCs w:val="22"/>
        </w:rPr>
      </w:pPr>
      <w:r w:rsidRPr="00D42475">
        <w:rPr>
          <w:rFonts w:ascii="Arial" w:hAnsi="Arial" w:cs="Arial"/>
          <w:b/>
          <w:sz w:val="22"/>
          <w:szCs w:val="22"/>
        </w:rPr>
        <w:t xml:space="preserve">Autres questions pour faciliter les travaux du Comité </w:t>
      </w:r>
    </w:p>
    <w:p w14:paraId="6BE1B4B3" w14:textId="77777777" w:rsidR="00D42475" w:rsidRPr="00D42475" w:rsidRDefault="00D42475" w:rsidP="00D42475">
      <w:pPr>
        <w:spacing w:before="120" w:after="120"/>
        <w:ind w:left="567"/>
        <w:jc w:val="both"/>
        <w:rPr>
          <w:rFonts w:ascii="Arial" w:hAnsi="Arial" w:cs="Arial"/>
          <w:b/>
          <w:sz w:val="22"/>
          <w:szCs w:val="22"/>
        </w:rPr>
      </w:pPr>
      <w:r w:rsidRPr="00D42475">
        <w:rPr>
          <w:rFonts w:ascii="Arial" w:hAnsi="Arial" w:cs="Arial"/>
          <w:b/>
          <w:sz w:val="22"/>
          <w:szCs w:val="22"/>
        </w:rPr>
        <w:t xml:space="preserve">La prise de décision </w:t>
      </w:r>
    </w:p>
    <w:p w14:paraId="4CDE259F" w14:textId="65B8D128" w:rsidR="00D42475" w:rsidRPr="00D42475" w:rsidRDefault="00D42475" w:rsidP="00D42475">
      <w:pPr>
        <w:pStyle w:val="ListParagraph"/>
        <w:numPr>
          <w:ilvl w:val="0"/>
          <w:numId w:val="53"/>
        </w:numPr>
        <w:spacing w:before="120" w:after="120"/>
        <w:ind w:left="1134" w:hanging="567"/>
        <w:contextualSpacing w:val="0"/>
        <w:jc w:val="both"/>
        <w:rPr>
          <w:rFonts w:ascii="Arial" w:hAnsi="Arial" w:cs="Arial"/>
          <w:sz w:val="22"/>
          <w:szCs w:val="22"/>
        </w:rPr>
      </w:pPr>
      <w:r w:rsidRPr="00D42475">
        <w:rPr>
          <w:rFonts w:ascii="Arial" w:hAnsi="Arial" w:cs="Arial"/>
          <w:sz w:val="22"/>
          <w:szCs w:val="22"/>
        </w:rPr>
        <w:t>Le groupe de travail est convenu d</w:t>
      </w:r>
      <w:r w:rsidR="00DD43FF">
        <w:rPr>
          <w:rFonts w:ascii="Arial" w:hAnsi="Arial" w:cs="Arial"/>
          <w:sz w:val="22"/>
          <w:szCs w:val="22"/>
        </w:rPr>
        <w:t>’</w:t>
      </w:r>
      <w:r w:rsidRPr="00D42475">
        <w:rPr>
          <w:rFonts w:ascii="Arial" w:hAnsi="Arial" w:cs="Arial"/>
          <w:sz w:val="22"/>
          <w:szCs w:val="22"/>
        </w:rPr>
        <w:t xml:space="preserve">encourager le président du Comité à adopter la même procédure décisionnelle que celle utilisée lors de la douzième session du Comité à </w:t>
      </w:r>
      <w:proofErr w:type="spellStart"/>
      <w:r w:rsidRPr="00D42475">
        <w:rPr>
          <w:rFonts w:ascii="Arial" w:hAnsi="Arial" w:cs="Arial"/>
          <w:sz w:val="22"/>
          <w:szCs w:val="22"/>
        </w:rPr>
        <w:t>Jeju</w:t>
      </w:r>
      <w:proofErr w:type="spellEnd"/>
      <w:r w:rsidRPr="00D42475">
        <w:rPr>
          <w:rFonts w:ascii="Arial" w:hAnsi="Arial" w:cs="Arial"/>
          <w:sz w:val="22"/>
          <w:szCs w:val="22"/>
        </w:rPr>
        <w:t>, en République de Corée. À cet égard, le président privilégierait le consensus. Si cela est jugé nécessaire pendant les débats, le Président déterminera, par étapes, un soutien relatif actif (un tiers des membres du Comité) et / ou un large soutien actif (majorité des membres du Comité) pour les amendements pr</w:t>
      </w:r>
      <w:r>
        <w:rPr>
          <w:rFonts w:ascii="Arial" w:hAnsi="Arial" w:cs="Arial"/>
          <w:sz w:val="22"/>
          <w:szCs w:val="22"/>
        </w:rPr>
        <w:t>oposés aux projets de décision.</w:t>
      </w:r>
    </w:p>
    <w:p w14:paraId="01562280" w14:textId="3D51EA55" w:rsidR="00D42475" w:rsidRPr="00D42475" w:rsidRDefault="00D42475" w:rsidP="00D42475">
      <w:pPr>
        <w:spacing w:before="120" w:after="120"/>
        <w:ind w:left="567"/>
        <w:jc w:val="both"/>
        <w:rPr>
          <w:rFonts w:ascii="Arial" w:hAnsi="Arial" w:cs="Arial"/>
          <w:b/>
          <w:sz w:val="22"/>
          <w:szCs w:val="22"/>
        </w:rPr>
      </w:pPr>
      <w:r w:rsidRPr="00D42475">
        <w:rPr>
          <w:rFonts w:ascii="Arial" w:hAnsi="Arial" w:cs="Arial"/>
          <w:b/>
          <w:sz w:val="22"/>
          <w:szCs w:val="22"/>
        </w:rPr>
        <w:t>Na</w:t>
      </w:r>
      <w:r>
        <w:rPr>
          <w:rFonts w:ascii="Arial" w:hAnsi="Arial" w:cs="Arial"/>
          <w:b/>
          <w:sz w:val="22"/>
          <w:szCs w:val="22"/>
        </w:rPr>
        <w:t>ture de la liste représentative</w:t>
      </w:r>
    </w:p>
    <w:p w14:paraId="226130BA" w14:textId="0E88EEDA" w:rsidR="00D42475" w:rsidRPr="00D42475" w:rsidRDefault="00D42475" w:rsidP="00D42475">
      <w:pPr>
        <w:pStyle w:val="ListParagraph"/>
        <w:numPr>
          <w:ilvl w:val="0"/>
          <w:numId w:val="53"/>
        </w:numPr>
        <w:spacing w:before="120" w:after="120"/>
        <w:ind w:left="1134" w:hanging="567"/>
        <w:contextualSpacing w:val="0"/>
        <w:jc w:val="both"/>
        <w:rPr>
          <w:rFonts w:ascii="Arial" w:hAnsi="Arial" w:cs="Arial"/>
          <w:bCs/>
          <w:sz w:val="22"/>
          <w:szCs w:val="22"/>
        </w:rPr>
      </w:pPr>
      <w:r w:rsidRPr="00D42475">
        <w:rPr>
          <w:rFonts w:ascii="Arial" w:hAnsi="Arial" w:cs="Arial"/>
          <w:sz w:val="22"/>
          <w:szCs w:val="22"/>
        </w:rPr>
        <w:lastRenderedPageBreak/>
        <w:t>Le groupe de travail recommande que cette question transversale soit examinée dans le cadre d</w:t>
      </w:r>
      <w:r w:rsidR="00DD43FF">
        <w:rPr>
          <w:rFonts w:ascii="Arial" w:hAnsi="Arial" w:cs="Arial"/>
          <w:sz w:val="22"/>
          <w:szCs w:val="22"/>
        </w:rPr>
        <w:t>’</w:t>
      </w:r>
      <w:r w:rsidRPr="00D42475">
        <w:rPr>
          <w:rFonts w:ascii="Arial" w:hAnsi="Arial" w:cs="Arial"/>
          <w:sz w:val="22"/>
          <w:szCs w:val="22"/>
        </w:rPr>
        <w:t>experts intergouvernementaux à composition non limitée, car elle a des incidences sur un large éventail de questions émergentes pour l</w:t>
      </w:r>
      <w:r w:rsidR="00DD43FF">
        <w:rPr>
          <w:rFonts w:ascii="Arial" w:hAnsi="Arial" w:cs="Arial"/>
          <w:sz w:val="22"/>
          <w:szCs w:val="22"/>
        </w:rPr>
        <w:t>’</w:t>
      </w:r>
      <w:r w:rsidRPr="00D42475">
        <w:rPr>
          <w:rFonts w:ascii="Arial" w:hAnsi="Arial" w:cs="Arial"/>
          <w:sz w:val="22"/>
          <w:szCs w:val="22"/>
        </w:rPr>
        <w:t>avenir de la Convention, tels que le transfert d</w:t>
      </w:r>
      <w:r w:rsidR="00DD43FF">
        <w:rPr>
          <w:rFonts w:ascii="Arial" w:hAnsi="Arial" w:cs="Arial"/>
          <w:sz w:val="22"/>
          <w:szCs w:val="22"/>
        </w:rPr>
        <w:t>’</w:t>
      </w:r>
      <w:r w:rsidRPr="00D42475">
        <w:rPr>
          <w:rFonts w:ascii="Arial" w:hAnsi="Arial" w:cs="Arial"/>
          <w:sz w:val="22"/>
          <w:szCs w:val="22"/>
        </w:rPr>
        <w:t>éléments de la liste, suivi / surveillance des éléments après inscription, et évaluation des propositions d</w:t>
      </w:r>
      <w:r w:rsidR="00DD43FF">
        <w:rPr>
          <w:rFonts w:ascii="Arial" w:hAnsi="Arial" w:cs="Arial"/>
          <w:sz w:val="22"/>
          <w:szCs w:val="22"/>
        </w:rPr>
        <w:t>’</w:t>
      </w:r>
      <w:r w:rsidRPr="00D42475">
        <w:rPr>
          <w:rFonts w:ascii="Arial" w:hAnsi="Arial" w:cs="Arial"/>
          <w:sz w:val="22"/>
          <w:szCs w:val="22"/>
        </w:rPr>
        <w:t>inscription sur la Liste représentative.</w:t>
      </w:r>
    </w:p>
    <w:sectPr w:rsidR="00D42475" w:rsidRPr="00D42475" w:rsidSect="00655736">
      <w:headerReference w:type="even" r:id="rId20"/>
      <w:headerReference w:type="default" r:id="rId21"/>
      <w:headerReference w:type="first" r:id="rId22"/>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8B6FF" w14:textId="77777777" w:rsidR="00D3288A" w:rsidRDefault="00D3288A" w:rsidP="00655736">
      <w:r>
        <w:separator/>
      </w:r>
    </w:p>
  </w:endnote>
  <w:endnote w:type="continuationSeparator" w:id="0">
    <w:p w14:paraId="720A6C9C" w14:textId="77777777" w:rsidR="00D3288A" w:rsidRDefault="00D3288A"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3749E" w14:textId="77777777" w:rsidR="00D3288A" w:rsidRDefault="00D3288A" w:rsidP="00655736">
      <w:r>
        <w:separator/>
      </w:r>
    </w:p>
  </w:footnote>
  <w:footnote w:type="continuationSeparator" w:id="0">
    <w:p w14:paraId="764A17EF" w14:textId="77777777" w:rsidR="00D3288A" w:rsidRDefault="00D3288A"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C0D46" w14:textId="4A43B818" w:rsidR="00D3288A" w:rsidRPr="00C23A97" w:rsidRDefault="00D3288A" w:rsidP="00817794">
    <w:pPr>
      <w:pStyle w:val="Header"/>
      <w:rPr>
        <w:rFonts w:ascii="Arial" w:hAnsi="Arial" w:cs="Arial"/>
        <w:lang w:val="en-GB"/>
      </w:rPr>
    </w:pPr>
    <w:r>
      <w:rPr>
        <w:rFonts w:ascii="Arial" w:hAnsi="Arial" w:cs="Arial"/>
        <w:sz w:val="20"/>
        <w:szCs w:val="20"/>
        <w:lang w:val="en-GB"/>
      </w:rPr>
      <w:t>ITH/18/13.COM</w:t>
    </w:r>
    <w:r w:rsidRPr="00C23A97">
      <w:rPr>
        <w:rFonts w:ascii="Arial" w:hAnsi="Arial" w:cs="Arial"/>
        <w:sz w:val="20"/>
        <w:szCs w:val="20"/>
        <w:lang w:val="en-GB"/>
      </w:rPr>
      <w:t>/</w:t>
    </w:r>
    <w:r>
      <w:rPr>
        <w:rFonts w:ascii="Arial" w:hAnsi="Arial" w:cs="Arial"/>
        <w:sz w:val="20"/>
        <w:szCs w:val="20"/>
        <w:lang w:val="en-GB"/>
      </w:rPr>
      <w:t>16</w:t>
    </w:r>
    <w:r w:rsidRPr="00C23A97">
      <w:rPr>
        <w:rFonts w:ascii="Arial" w:hAnsi="Arial" w:cs="Arial"/>
        <w:sz w:val="20"/>
        <w:szCs w:val="20"/>
        <w:lang w:val="en-GB"/>
      </w:rPr>
      <w:t xml:space="preserve"> – page </w:t>
    </w:r>
    <w:r w:rsidRPr="00C23A97">
      <w:rPr>
        <w:rStyle w:val="PageNumber"/>
        <w:rFonts w:ascii="Arial" w:hAnsi="Arial" w:cs="Arial"/>
        <w:sz w:val="20"/>
        <w:szCs w:val="20"/>
        <w:lang w:val="en-GB"/>
      </w:rPr>
      <w:fldChar w:fldCharType="begin"/>
    </w:r>
    <w:r w:rsidRPr="00C23A97">
      <w:rPr>
        <w:rStyle w:val="PageNumber"/>
        <w:rFonts w:ascii="Arial" w:hAnsi="Arial" w:cs="Arial"/>
        <w:sz w:val="20"/>
        <w:szCs w:val="20"/>
        <w:lang w:val="en-GB"/>
      </w:rPr>
      <w:instrText xml:space="preserve"> PAGE </w:instrText>
    </w:r>
    <w:r w:rsidRPr="00C23A97">
      <w:rPr>
        <w:rStyle w:val="PageNumber"/>
        <w:rFonts w:ascii="Arial" w:hAnsi="Arial" w:cs="Arial"/>
        <w:sz w:val="20"/>
        <w:szCs w:val="20"/>
        <w:lang w:val="en-GB"/>
      </w:rPr>
      <w:fldChar w:fldCharType="separate"/>
    </w:r>
    <w:r w:rsidR="00FD11E5">
      <w:rPr>
        <w:rStyle w:val="PageNumber"/>
        <w:rFonts w:ascii="Arial" w:hAnsi="Arial" w:cs="Arial"/>
        <w:noProof/>
        <w:sz w:val="20"/>
        <w:szCs w:val="20"/>
        <w:lang w:val="en-GB"/>
      </w:rPr>
      <w:t>8</w:t>
    </w:r>
    <w:r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8E61D" w14:textId="7BA1BBDC" w:rsidR="00D3288A" w:rsidRPr="0063300C" w:rsidRDefault="00D3288A" w:rsidP="00817794">
    <w:pPr>
      <w:pStyle w:val="Header"/>
      <w:jc w:val="right"/>
      <w:rPr>
        <w:rFonts w:ascii="Arial" w:hAnsi="Arial" w:cs="Arial"/>
        <w:lang w:val="en-GB"/>
      </w:rPr>
    </w:pPr>
    <w:r>
      <w:rPr>
        <w:rFonts w:ascii="Arial" w:hAnsi="Arial" w:cs="Arial"/>
        <w:sz w:val="20"/>
        <w:szCs w:val="20"/>
        <w:lang w:val="en-GB"/>
      </w:rPr>
      <w:t>ITH/18/13.COM</w:t>
    </w:r>
    <w:r w:rsidRPr="0063300C">
      <w:rPr>
        <w:rFonts w:ascii="Arial" w:hAnsi="Arial" w:cs="Arial"/>
        <w:sz w:val="20"/>
        <w:szCs w:val="20"/>
        <w:lang w:val="en-GB"/>
      </w:rPr>
      <w:t>/</w:t>
    </w:r>
    <w:r>
      <w:rPr>
        <w:rFonts w:ascii="Arial" w:hAnsi="Arial" w:cs="Arial"/>
        <w:sz w:val="20"/>
        <w:szCs w:val="20"/>
        <w:lang w:val="en-GB"/>
      </w:rPr>
      <w:t>16</w:t>
    </w:r>
    <w:r w:rsidRPr="0063300C">
      <w:rPr>
        <w:rFonts w:ascii="Arial" w:hAnsi="Arial" w:cs="Arial"/>
        <w:sz w:val="20"/>
        <w:szCs w:val="20"/>
        <w:lang w:val="en-GB"/>
      </w:rPr>
      <w:t xml:space="preserve"> – page </w:t>
    </w:r>
    <w:r w:rsidRPr="0063300C">
      <w:rPr>
        <w:rStyle w:val="PageNumber"/>
        <w:rFonts w:ascii="Arial" w:hAnsi="Arial" w:cs="Arial"/>
        <w:sz w:val="20"/>
        <w:szCs w:val="20"/>
        <w:lang w:val="en-GB"/>
      </w:rPr>
      <w:fldChar w:fldCharType="begin"/>
    </w:r>
    <w:r w:rsidRPr="0063300C">
      <w:rPr>
        <w:rStyle w:val="PageNumber"/>
        <w:rFonts w:ascii="Arial" w:hAnsi="Arial" w:cs="Arial"/>
        <w:sz w:val="20"/>
        <w:szCs w:val="20"/>
        <w:lang w:val="en-GB"/>
      </w:rPr>
      <w:instrText xml:space="preserve"> PAGE </w:instrText>
    </w:r>
    <w:r w:rsidRPr="0063300C">
      <w:rPr>
        <w:rStyle w:val="PageNumber"/>
        <w:rFonts w:ascii="Arial" w:hAnsi="Arial" w:cs="Arial"/>
        <w:sz w:val="20"/>
        <w:szCs w:val="20"/>
        <w:lang w:val="en-GB"/>
      </w:rPr>
      <w:fldChar w:fldCharType="separate"/>
    </w:r>
    <w:r w:rsidR="00FD11E5">
      <w:rPr>
        <w:rStyle w:val="PageNumber"/>
        <w:rFonts w:ascii="Arial" w:hAnsi="Arial" w:cs="Arial"/>
        <w:noProof/>
        <w:sz w:val="20"/>
        <w:szCs w:val="20"/>
        <w:lang w:val="en-GB"/>
      </w:rPr>
      <w:t>7</w:t>
    </w:r>
    <w:r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859BD" w14:textId="77777777" w:rsidR="00A700AF" w:rsidRPr="00A700AF" w:rsidRDefault="00A700AF" w:rsidP="00A700AF">
    <w:pPr>
      <w:pStyle w:val="Header"/>
      <w:rPr>
        <w:bCs/>
        <w:lang w:val="en-GB"/>
      </w:rPr>
    </w:pPr>
  </w:p>
  <w:p w14:paraId="6E7C7F2A" w14:textId="69B7A817" w:rsidR="00D3288A" w:rsidRPr="00F30DC6" w:rsidRDefault="00D3288A" w:rsidP="00817794">
    <w:pPr>
      <w:pStyle w:val="Header"/>
      <w:spacing w:after="520"/>
      <w:jc w:val="right"/>
      <w:rPr>
        <w:rFonts w:ascii="Arial" w:hAnsi="Arial" w:cs="Arial"/>
        <w:b/>
        <w:sz w:val="44"/>
        <w:szCs w:val="44"/>
        <w:lang w:val="en-GB"/>
      </w:rPr>
    </w:pPr>
    <w:r>
      <w:rPr>
        <w:noProof/>
        <w:lang w:val="en-US" w:eastAsia="ko-KR"/>
      </w:rPr>
      <w:drawing>
        <wp:anchor distT="0" distB="0" distL="114300" distR="114300" simplePos="0" relativeHeight="251659264" behindDoc="0" locked="0" layoutInCell="1" allowOverlap="1" wp14:anchorId="0CF530F3" wp14:editId="244CBF83">
          <wp:simplePos x="0" y="0"/>
          <wp:positionH relativeFrom="page">
            <wp:posOffset>342265</wp:posOffset>
          </wp:positionH>
          <wp:positionV relativeFrom="page">
            <wp:posOffset>255905</wp:posOffset>
          </wp:positionV>
          <wp:extent cx="2055600" cy="1540800"/>
          <wp:effectExtent l="0" t="0" r="1905" b="2540"/>
          <wp:wrapNone/>
          <wp:docPr id="11" name="Picture 11"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600" cy="1540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44"/>
        <w:szCs w:val="44"/>
        <w:lang w:val="en-GB"/>
      </w:rPr>
      <w:t>13</w:t>
    </w:r>
    <w:r w:rsidRPr="00F30DC6">
      <w:rPr>
        <w:rFonts w:ascii="Arial" w:hAnsi="Arial" w:cs="Arial"/>
        <w:b/>
        <w:sz w:val="44"/>
        <w:szCs w:val="44"/>
        <w:lang w:val="en-GB"/>
      </w:rPr>
      <w:t xml:space="preserve"> COM</w:t>
    </w:r>
  </w:p>
  <w:p w14:paraId="39275369" w14:textId="3F3A1F19" w:rsidR="00D3288A" w:rsidRPr="00A700AF" w:rsidRDefault="00D3288A" w:rsidP="00817794">
    <w:pPr>
      <w:jc w:val="right"/>
      <w:rPr>
        <w:rFonts w:ascii="Arial" w:hAnsi="Arial" w:cs="Arial"/>
        <w:b/>
        <w:sz w:val="22"/>
        <w:szCs w:val="22"/>
        <w:lang w:val="en-US"/>
      </w:rPr>
    </w:pPr>
    <w:r w:rsidRPr="00A700AF">
      <w:rPr>
        <w:rFonts w:ascii="Arial" w:hAnsi="Arial" w:cs="Arial"/>
        <w:b/>
        <w:sz w:val="22"/>
        <w:szCs w:val="22"/>
        <w:lang w:val="en-US"/>
      </w:rPr>
      <w:t>ITH/18/13.COM/16</w:t>
    </w:r>
  </w:p>
  <w:p w14:paraId="34B7C560" w14:textId="45212287" w:rsidR="00D3288A" w:rsidRPr="00FD11E5" w:rsidRDefault="00D3288A" w:rsidP="00FD11E5">
    <w:pPr>
      <w:jc w:val="right"/>
      <w:rPr>
        <w:rFonts w:ascii="Arial" w:eastAsiaTheme="minorEastAsia" w:hAnsi="Arial" w:cs="Arial"/>
        <w:b/>
        <w:sz w:val="22"/>
        <w:szCs w:val="22"/>
        <w:lang w:eastAsia="ko-KR"/>
      </w:rPr>
    </w:pPr>
    <w:r w:rsidRPr="00FD11E5">
      <w:rPr>
        <w:rFonts w:ascii="Arial" w:hAnsi="Arial" w:cs="Arial"/>
        <w:b/>
        <w:sz w:val="22"/>
        <w:szCs w:val="22"/>
      </w:rPr>
      <w:t xml:space="preserve">Paris, </w:t>
    </w:r>
    <w:r w:rsidR="00FD11E5" w:rsidRPr="00FD11E5">
      <w:rPr>
        <w:rFonts w:ascii="Arial" w:hAnsi="Arial" w:cs="Arial"/>
        <w:b/>
        <w:sz w:val="22"/>
        <w:szCs w:val="22"/>
      </w:rPr>
      <w:t>le 29 octobre</w:t>
    </w:r>
    <w:r w:rsidRPr="00FD11E5">
      <w:rPr>
        <w:rFonts w:ascii="Arial" w:hAnsi="Arial" w:cs="Arial"/>
        <w:b/>
        <w:sz w:val="22"/>
        <w:szCs w:val="22"/>
      </w:rPr>
      <w:t xml:space="preserve"> 201</w:t>
    </w:r>
    <w:r w:rsidRPr="00FD11E5">
      <w:rPr>
        <w:rFonts w:ascii="Arial" w:eastAsiaTheme="minorEastAsia" w:hAnsi="Arial" w:cs="Arial"/>
        <w:b/>
        <w:sz w:val="22"/>
        <w:szCs w:val="22"/>
        <w:lang w:eastAsia="ko-KR"/>
      </w:rPr>
      <w:t>8</w:t>
    </w:r>
  </w:p>
  <w:p w14:paraId="091BD2BD" w14:textId="2DE11F0D" w:rsidR="00D3288A" w:rsidRPr="00FD11E5" w:rsidRDefault="00D3288A" w:rsidP="000048ED">
    <w:pPr>
      <w:jc w:val="right"/>
      <w:rPr>
        <w:rFonts w:ascii="Arial" w:hAnsi="Arial" w:cs="Arial"/>
        <w:b/>
        <w:sz w:val="22"/>
        <w:szCs w:val="22"/>
      </w:rPr>
    </w:pPr>
    <w:r w:rsidRPr="004E2E04">
      <w:rPr>
        <w:rFonts w:ascii="Arial" w:hAnsi="Arial" w:cs="Arial"/>
        <w:b/>
        <w:sz w:val="22"/>
        <w:szCs w:val="22"/>
      </w:rPr>
      <w:t>Original : anglais</w:t>
    </w:r>
  </w:p>
  <w:p w14:paraId="0B704E7E" w14:textId="77777777" w:rsidR="00D3288A" w:rsidRPr="00FD11E5" w:rsidRDefault="00D32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1407"/>
    <w:multiLevelType w:val="hybridMultilevel"/>
    <w:tmpl w:val="451A8018"/>
    <w:lvl w:ilvl="0" w:tplc="215410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0511B"/>
    <w:multiLevelType w:val="hybridMultilevel"/>
    <w:tmpl w:val="1E8E7350"/>
    <w:lvl w:ilvl="0" w:tplc="040C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27E25"/>
    <w:multiLevelType w:val="hybridMultilevel"/>
    <w:tmpl w:val="D2A20A56"/>
    <w:lvl w:ilvl="0" w:tplc="040C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4"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0466012"/>
    <w:multiLevelType w:val="hybridMultilevel"/>
    <w:tmpl w:val="32E4BB94"/>
    <w:lvl w:ilvl="0" w:tplc="A40CEDD2">
      <w:start w:val="1"/>
      <w:numFmt w:val="decimal"/>
      <w:lvlText w:val="%1."/>
      <w:lvlJc w:val="left"/>
      <w:pPr>
        <w:ind w:left="720" w:hanging="360"/>
      </w:pPr>
      <w:rPr>
        <w:rFonts w:hint="default"/>
        <w:b w:val="0"/>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B424AAF"/>
    <w:multiLevelType w:val="hybridMultilevel"/>
    <w:tmpl w:val="D2C2DD74"/>
    <w:lvl w:ilvl="0" w:tplc="63927700">
      <w:start w:val="1"/>
      <w:numFmt w:val="decimal"/>
      <w:lvlText w:val="%1."/>
      <w:lvlJc w:val="left"/>
      <w:pPr>
        <w:ind w:left="644" w:hanging="360"/>
      </w:pPr>
      <w:rPr>
        <w:rFonts w:ascii="Times New Roman" w:eastAsiaTheme="minorEastAsia" w:hAnsi="Times New Roman" w:cs="Times New Roman"/>
        <w:b w:val="0"/>
        <w:strike w:val="0"/>
        <w:color w:val="auto"/>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8" w15:restartNumberingAfterBreak="0">
    <w:nsid w:val="35F07BFE"/>
    <w:multiLevelType w:val="hybridMultilevel"/>
    <w:tmpl w:val="DD6C26C8"/>
    <w:lvl w:ilvl="0" w:tplc="BFCC9782">
      <w:start w:val="1"/>
      <w:numFmt w:val="decimal"/>
      <w:pStyle w:val="COMPara"/>
      <w:lvlText w:val="%1."/>
      <w:lvlJc w:val="left"/>
      <w:pPr>
        <w:ind w:left="567" w:hanging="567"/>
      </w:pPr>
      <w:rPr>
        <w:rFonts w:hint="default"/>
      </w:rPr>
    </w:lvl>
    <w:lvl w:ilvl="1" w:tplc="040C0019">
      <w:start w:val="1"/>
      <w:numFmt w:val="lowerLetter"/>
      <w:lvlText w:val="%2."/>
      <w:lvlJc w:val="left"/>
      <w:pPr>
        <w:ind w:left="1440" w:hanging="360"/>
      </w:pPr>
    </w:lvl>
    <w:lvl w:ilvl="2" w:tplc="296A1452">
      <w:start w:val="1"/>
      <w:numFmt w:val="lowerRoman"/>
      <w:lvlText w:val="%3."/>
      <w:lvlJc w:val="left"/>
      <w:pPr>
        <w:ind w:left="2160" w:hanging="180"/>
      </w:pPr>
      <w:rPr>
        <w:rFonts w:hint="default"/>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15:restartNumberingAfterBreak="0">
    <w:nsid w:val="397A4DB1"/>
    <w:multiLevelType w:val="hybridMultilevel"/>
    <w:tmpl w:val="4EE65456"/>
    <w:lvl w:ilvl="0" w:tplc="918ACE6A">
      <w:start w:val="1"/>
      <w:numFmt w:val="decimal"/>
      <w:pStyle w:val="COMParaDecision"/>
      <w:lvlText w:val="%1."/>
      <w:lvlJc w:val="left"/>
      <w:pPr>
        <w:ind w:left="1287" w:hanging="360"/>
      </w:pPr>
    </w:lvl>
    <w:lvl w:ilvl="1" w:tplc="040C0019">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 w15:restartNumberingAfterBreak="0">
    <w:nsid w:val="3AC30BD2"/>
    <w:multiLevelType w:val="hybridMultilevel"/>
    <w:tmpl w:val="FA949CE0"/>
    <w:lvl w:ilvl="0" w:tplc="040C0015">
      <w:start w:val="1"/>
      <w:numFmt w:val="upperRoman"/>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3"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4" w15:restartNumberingAfterBreak="0">
    <w:nsid w:val="5A790D25"/>
    <w:multiLevelType w:val="hybridMultilevel"/>
    <w:tmpl w:val="C8842060"/>
    <w:lvl w:ilvl="0" w:tplc="BFCC9782">
      <w:start w:val="1"/>
      <w:numFmt w:val="decimal"/>
      <w:lvlText w:val="%1."/>
      <w:lvlJc w:val="left"/>
      <w:pPr>
        <w:ind w:left="567" w:hanging="567"/>
      </w:pPr>
      <w:rPr>
        <w:rFonts w:hint="default"/>
      </w:rPr>
    </w:lvl>
    <w:lvl w:ilvl="1" w:tplc="4B1A83FE">
      <w:start w:val="1"/>
      <w:numFmt w:val="lowerRoman"/>
      <w:lvlText w:val="%2."/>
      <w:lvlJc w:val="left"/>
      <w:pPr>
        <w:ind w:left="1440" w:hanging="360"/>
      </w:pPr>
      <w:rPr>
        <w:rFonts w:hint="default"/>
        <w:u w:color="000000" w:themeColor="text1"/>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6" w15:restartNumberingAfterBreak="0">
    <w:nsid w:val="61A66CD2"/>
    <w:multiLevelType w:val="hybridMultilevel"/>
    <w:tmpl w:val="E4E02C4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2C32CF8"/>
    <w:multiLevelType w:val="hybridMultilevel"/>
    <w:tmpl w:val="59B86C74"/>
    <w:lvl w:ilvl="0" w:tplc="C1882B86">
      <w:start w:val="1"/>
      <w:numFmt w:val="upperLetter"/>
      <w:lvlText w:val="%1."/>
      <w:lvlJc w:val="left"/>
      <w:pPr>
        <w:ind w:left="720" w:hanging="360"/>
      </w:pPr>
      <w:rPr>
        <w:rFonts w:ascii="Malgun Gothic" w:eastAsia="Malgun Gothic" w:hAnsi="Malgun Gothic" w:cs="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8F13AA4"/>
    <w:multiLevelType w:val="hybridMultilevel"/>
    <w:tmpl w:val="49D01B22"/>
    <w:lvl w:ilvl="0" w:tplc="054C76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E7005D"/>
    <w:multiLevelType w:val="hybridMultilevel"/>
    <w:tmpl w:val="C6902EA2"/>
    <w:lvl w:ilvl="0" w:tplc="040C000F">
      <w:start w:val="1"/>
      <w:numFmt w:val="decimal"/>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9"/>
  </w:num>
  <w:num w:numId="3">
    <w:abstractNumId w:val="4"/>
  </w:num>
  <w:num w:numId="4">
    <w:abstractNumId w:val="21"/>
  </w:num>
  <w:num w:numId="5">
    <w:abstractNumId w:val="18"/>
  </w:num>
  <w:num w:numId="6">
    <w:abstractNumId w:val="3"/>
  </w:num>
  <w:num w:numId="7">
    <w:abstractNumId w:val="5"/>
  </w:num>
  <w:num w:numId="8">
    <w:abstractNumId w:val="13"/>
  </w:num>
  <w:num w:numId="9">
    <w:abstractNumId w:val="8"/>
  </w:num>
  <w:num w:numId="10">
    <w:abstractNumId w:val="10"/>
  </w:num>
  <w:num w:numId="11">
    <w:abstractNumId w:val="12"/>
  </w:num>
  <w:num w:numId="12">
    <w:abstractNumId w:val="11"/>
  </w:num>
  <w:num w:numId="13">
    <w:abstractNumId w:val="0"/>
  </w:num>
  <w:num w:numId="14">
    <w:abstractNumId w:val="10"/>
  </w:num>
  <w:num w:numId="15">
    <w:abstractNumId w:val="10"/>
    <w:lvlOverride w:ilvl="0">
      <w:startOverride w:val="1"/>
    </w:lvlOverride>
  </w:num>
  <w:num w:numId="16">
    <w:abstractNumId w:val="8"/>
    <w:lvlOverride w:ilvl="0">
      <w:startOverride w:val="1"/>
    </w:lvlOverride>
  </w:num>
  <w:num w:numId="17">
    <w:abstractNumId w:val="11"/>
    <w:lvlOverride w:ilvl="0">
      <w:startOverride w:val="1"/>
    </w:lvlOverride>
  </w:num>
  <w:num w:numId="18">
    <w:abstractNumId w:val="17"/>
  </w:num>
  <w:num w:numId="19">
    <w:abstractNumId w:val="19"/>
  </w:num>
  <w:num w:numId="20">
    <w:abstractNumId w:val="1"/>
  </w:num>
  <w:num w:numId="21">
    <w:abstractNumId w:val="2"/>
  </w:num>
  <w:num w:numId="22">
    <w:abstractNumId w:val="8"/>
  </w:num>
  <w:num w:numId="23">
    <w:abstractNumId w:val="8"/>
  </w:num>
  <w:num w:numId="24">
    <w:abstractNumId w:val="8"/>
  </w:num>
  <w:num w:numId="25">
    <w:abstractNumId w:val="7"/>
  </w:num>
  <w:num w:numId="26">
    <w:abstractNumId w:val="8"/>
  </w:num>
  <w:num w:numId="27">
    <w:abstractNumId w:val="8"/>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8"/>
  </w:num>
  <w:num w:numId="40">
    <w:abstractNumId w:val="8"/>
  </w:num>
  <w:num w:numId="41">
    <w:abstractNumId w:val="8"/>
  </w:num>
  <w:num w:numId="42">
    <w:abstractNumId w:val="10"/>
  </w:num>
  <w:num w:numId="43">
    <w:abstractNumId w:val="10"/>
  </w:num>
  <w:num w:numId="44">
    <w:abstractNumId w:val="10"/>
  </w:num>
  <w:num w:numId="45">
    <w:abstractNumId w:val="10"/>
  </w:num>
  <w:num w:numId="46">
    <w:abstractNumId w:val="8"/>
  </w:num>
  <w:num w:numId="47">
    <w:abstractNumId w:val="14"/>
  </w:num>
  <w:num w:numId="48">
    <w:abstractNumId w:val="8"/>
  </w:num>
  <w:num w:numId="49">
    <w:abstractNumId w:val="8"/>
  </w:num>
  <w:num w:numId="50">
    <w:abstractNumId w:val="8"/>
  </w:num>
  <w:num w:numId="51">
    <w:abstractNumId w:val="8"/>
  </w:num>
  <w:num w:numId="52">
    <w:abstractNumId w:val="20"/>
  </w:num>
  <w:num w:numId="53">
    <w:abstractNumId w:val="6"/>
  </w:num>
  <w:num w:numId="54">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42"/>
    <w:rsid w:val="000048ED"/>
    <w:rsid w:val="000268A8"/>
    <w:rsid w:val="00041A66"/>
    <w:rsid w:val="00042DCD"/>
    <w:rsid w:val="000506D3"/>
    <w:rsid w:val="00050DAA"/>
    <w:rsid w:val="0005176E"/>
    <w:rsid w:val="00072C51"/>
    <w:rsid w:val="000765F7"/>
    <w:rsid w:val="00077AB7"/>
    <w:rsid w:val="00081CD8"/>
    <w:rsid w:val="00091672"/>
    <w:rsid w:val="000A243E"/>
    <w:rsid w:val="000A7F0E"/>
    <w:rsid w:val="000B1C8F"/>
    <w:rsid w:val="000C0D61"/>
    <w:rsid w:val="000E4E8B"/>
    <w:rsid w:val="000E795D"/>
    <w:rsid w:val="000F3A3F"/>
    <w:rsid w:val="00102557"/>
    <w:rsid w:val="00107672"/>
    <w:rsid w:val="00113DAA"/>
    <w:rsid w:val="001144A6"/>
    <w:rsid w:val="00130069"/>
    <w:rsid w:val="00132398"/>
    <w:rsid w:val="00137028"/>
    <w:rsid w:val="00142F18"/>
    <w:rsid w:val="00164D56"/>
    <w:rsid w:val="00167B10"/>
    <w:rsid w:val="0017402F"/>
    <w:rsid w:val="00196C1B"/>
    <w:rsid w:val="001A532A"/>
    <w:rsid w:val="001B0F73"/>
    <w:rsid w:val="001C2DB7"/>
    <w:rsid w:val="001C36D7"/>
    <w:rsid w:val="001C7C67"/>
    <w:rsid w:val="001D2517"/>
    <w:rsid w:val="001D4BCF"/>
    <w:rsid w:val="001D5C04"/>
    <w:rsid w:val="001F26CF"/>
    <w:rsid w:val="00200AAE"/>
    <w:rsid w:val="0020406C"/>
    <w:rsid w:val="002140CA"/>
    <w:rsid w:val="00216EC2"/>
    <w:rsid w:val="00222A2D"/>
    <w:rsid w:val="00223029"/>
    <w:rsid w:val="00234745"/>
    <w:rsid w:val="002351A6"/>
    <w:rsid w:val="002407AF"/>
    <w:rsid w:val="00240B80"/>
    <w:rsid w:val="00257360"/>
    <w:rsid w:val="00263C1A"/>
    <w:rsid w:val="00266151"/>
    <w:rsid w:val="0027466B"/>
    <w:rsid w:val="002838A5"/>
    <w:rsid w:val="00284E93"/>
    <w:rsid w:val="00285BB4"/>
    <w:rsid w:val="002C09E3"/>
    <w:rsid w:val="00305636"/>
    <w:rsid w:val="003214EC"/>
    <w:rsid w:val="00327C88"/>
    <w:rsid w:val="00337CEB"/>
    <w:rsid w:val="00344B58"/>
    <w:rsid w:val="0034539A"/>
    <w:rsid w:val="00345CB4"/>
    <w:rsid w:val="0036377B"/>
    <w:rsid w:val="003670DA"/>
    <w:rsid w:val="00370CAA"/>
    <w:rsid w:val="00373FB5"/>
    <w:rsid w:val="003742B7"/>
    <w:rsid w:val="00375D42"/>
    <w:rsid w:val="0037677C"/>
    <w:rsid w:val="00385E26"/>
    <w:rsid w:val="00395712"/>
    <w:rsid w:val="003A00A5"/>
    <w:rsid w:val="003A7F73"/>
    <w:rsid w:val="003B286B"/>
    <w:rsid w:val="003C2124"/>
    <w:rsid w:val="003D069C"/>
    <w:rsid w:val="003D7646"/>
    <w:rsid w:val="003F0605"/>
    <w:rsid w:val="003F113A"/>
    <w:rsid w:val="003F3E63"/>
    <w:rsid w:val="00407480"/>
    <w:rsid w:val="00412F91"/>
    <w:rsid w:val="00414643"/>
    <w:rsid w:val="004421E5"/>
    <w:rsid w:val="00450192"/>
    <w:rsid w:val="00452284"/>
    <w:rsid w:val="00457C8E"/>
    <w:rsid w:val="004856CA"/>
    <w:rsid w:val="00486695"/>
    <w:rsid w:val="00487E67"/>
    <w:rsid w:val="0049705E"/>
    <w:rsid w:val="004A34A0"/>
    <w:rsid w:val="004A6D48"/>
    <w:rsid w:val="004E2E04"/>
    <w:rsid w:val="004F0A38"/>
    <w:rsid w:val="005008A8"/>
    <w:rsid w:val="005028C0"/>
    <w:rsid w:val="00507CC2"/>
    <w:rsid w:val="0051193B"/>
    <w:rsid w:val="00524D66"/>
    <w:rsid w:val="00526B7B"/>
    <w:rsid w:val="00530792"/>
    <w:rsid w:val="005308CE"/>
    <w:rsid w:val="0053318C"/>
    <w:rsid w:val="00560D8C"/>
    <w:rsid w:val="00561B2A"/>
    <w:rsid w:val="0057439C"/>
    <w:rsid w:val="00580C36"/>
    <w:rsid w:val="005842C3"/>
    <w:rsid w:val="00592EC4"/>
    <w:rsid w:val="005A73EB"/>
    <w:rsid w:val="005B0127"/>
    <w:rsid w:val="005B546C"/>
    <w:rsid w:val="005B65BD"/>
    <w:rsid w:val="005B7A35"/>
    <w:rsid w:val="005C4B73"/>
    <w:rsid w:val="005C4BD3"/>
    <w:rsid w:val="005D614A"/>
    <w:rsid w:val="005E1D2B"/>
    <w:rsid w:val="005E1DA7"/>
    <w:rsid w:val="005E2E6E"/>
    <w:rsid w:val="005E7074"/>
    <w:rsid w:val="005F2BAF"/>
    <w:rsid w:val="00600D93"/>
    <w:rsid w:val="0062099D"/>
    <w:rsid w:val="0062327B"/>
    <w:rsid w:val="006318D3"/>
    <w:rsid w:val="0063300C"/>
    <w:rsid w:val="00650861"/>
    <w:rsid w:val="00654AC7"/>
    <w:rsid w:val="00655736"/>
    <w:rsid w:val="00663B8D"/>
    <w:rsid w:val="00673005"/>
    <w:rsid w:val="006909B3"/>
    <w:rsid w:val="00692CA8"/>
    <w:rsid w:val="00696C8D"/>
    <w:rsid w:val="006A2AC2"/>
    <w:rsid w:val="006A3617"/>
    <w:rsid w:val="006A4839"/>
    <w:rsid w:val="006C440F"/>
    <w:rsid w:val="006D29A2"/>
    <w:rsid w:val="006D408B"/>
    <w:rsid w:val="006E46E4"/>
    <w:rsid w:val="00702DF8"/>
    <w:rsid w:val="00717DA5"/>
    <w:rsid w:val="007316D0"/>
    <w:rsid w:val="00742C4D"/>
    <w:rsid w:val="00744484"/>
    <w:rsid w:val="00747566"/>
    <w:rsid w:val="00751835"/>
    <w:rsid w:val="00755AAD"/>
    <w:rsid w:val="00772072"/>
    <w:rsid w:val="00773188"/>
    <w:rsid w:val="00783782"/>
    <w:rsid w:val="00784B8C"/>
    <w:rsid w:val="007879E1"/>
    <w:rsid w:val="007C2A2C"/>
    <w:rsid w:val="007F6CA3"/>
    <w:rsid w:val="00811B5E"/>
    <w:rsid w:val="00812C68"/>
    <w:rsid w:val="00817794"/>
    <w:rsid w:val="00823A11"/>
    <w:rsid w:val="0085405E"/>
    <w:rsid w:val="0085414A"/>
    <w:rsid w:val="00856D3A"/>
    <w:rsid w:val="0086269D"/>
    <w:rsid w:val="0086543A"/>
    <w:rsid w:val="00871CE8"/>
    <w:rsid w:val="008724E5"/>
    <w:rsid w:val="00884A9D"/>
    <w:rsid w:val="0088512B"/>
    <w:rsid w:val="008A2B2D"/>
    <w:rsid w:val="008A4E1E"/>
    <w:rsid w:val="008A7101"/>
    <w:rsid w:val="008C296C"/>
    <w:rsid w:val="008D3DC6"/>
    <w:rsid w:val="008D4305"/>
    <w:rsid w:val="008D6B75"/>
    <w:rsid w:val="008E1A85"/>
    <w:rsid w:val="009163A7"/>
    <w:rsid w:val="00924999"/>
    <w:rsid w:val="009342AA"/>
    <w:rsid w:val="009454F1"/>
    <w:rsid w:val="00946D0B"/>
    <w:rsid w:val="009529DF"/>
    <w:rsid w:val="00955877"/>
    <w:rsid w:val="0096263A"/>
    <w:rsid w:val="0097067E"/>
    <w:rsid w:val="00997A2C"/>
    <w:rsid w:val="009A18CD"/>
    <w:rsid w:val="009B1424"/>
    <w:rsid w:val="009B67F9"/>
    <w:rsid w:val="009C0D25"/>
    <w:rsid w:val="009C2443"/>
    <w:rsid w:val="009D1FFB"/>
    <w:rsid w:val="009D5428"/>
    <w:rsid w:val="009D5C95"/>
    <w:rsid w:val="00A12558"/>
    <w:rsid w:val="00A13903"/>
    <w:rsid w:val="00A31197"/>
    <w:rsid w:val="00A34ED5"/>
    <w:rsid w:val="00A43F10"/>
    <w:rsid w:val="00A45DBF"/>
    <w:rsid w:val="00A4715A"/>
    <w:rsid w:val="00A50263"/>
    <w:rsid w:val="00A700AF"/>
    <w:rsid w:val="00A755A2"/>
    <w:rsid w:val="00A817C1"/>
    <w:rsid w:val="00A8419E"/>
    <w:rsid w:val="00A84B5F"/>
    <w:rsid w:val="00A96230"/>
    <w:rsid w:val="00AA6660"/>
    <w:rsid w:val="00AB2C36"/>
    <w:rsid w:val="00AB56C5"/>
    <w:rsid w:val="00AB6DDE"/>
    <w:rsid w:val="00AB70B6"/>
    <w:rsid w:val="00AD1A86"/>
    <w:rsid w:val="00AD60A5"/>
    <w:rsid w:val="00AE103E"/>
    <w:rsid w:val="00AE6D98"/>
    <w:rsid w:val="00AF0A07"/>
    <w:rsid w:val="00AF4AEC"/>
    <w:rsid w:val="00AF625E"/>
    <w:rsid w:val="00B1312E"/>
    <w:rsid w:val="00B14337"/>
    <w:rsid w:val="00B154D8"/>
    <w:rsid w:val="00B17580"/>
    <w:rsid w:val="00B33813"/>
    <w:rsid w:val="00B61A15"/>
    <w:rsid w:val="00B67D67"/>
    <w:rsid w:val="00B8284E"/>
    <w:rsid w:val="00B91D46"/>
    <w:rsid w:val="00BA09A4"/>
    <w:rsid w:val="00BA324F"/>
    <w:rsid w:val="00BB04AF"/>
    <w:rsid w:val="00BB5B1D"/>
    <w:rsid w:val="00BB7EC9"/>
    <w:rsid w:val="00BC4640"/>
    <w:rsid w:val="00BC47DA"/>
    <w:rsid w:val="00BC61D1"/>
    <w:rsid w:val="00BD52C9"/>
    <w:rsid w:val="00BE3D7F"/>
    <w:rsid w:val="00BE6354"/>
    <w:rsid w:val="00BE6B13"/>
    <w:rsid w:val="00BF3C00"/>
    <w:rsid w:val="00BF750B"/>
    <w:rsid w:val="00C04F06"/>
    <w:rsid w:val="00C121C6"/>
    <w:rsid w:val="00C138D1"/>
    <w:rsid w:val="00C153FD"/>
    <w:rsid w:val="00C2054A"/>
    <w:rsid w:val="00C23A97"/>
    <w:rsid w:val="00C55F85"/>
    <w:rsid w:val="00C6105B"/>
    <w:rsid w:val="00C64855"/>
    <w:rsid w:val="00C70EA7"/>
    <w:rsid w:val="00C72F75"/>
    <w:rsid w:val="00C7433F"/>
    <w:rsid w:val="00C7516E"/>
    <w:rsid w:val="00C75770"/>
    <w:rsid w:val="00C75F7D"/>
    <w:rsid w:val="00C76F10"/>
    <w:rsid w:val="00CA56BB"/>
    <w:rsid w:val="00CA6C7B"/>
    <w:rsid w:val="00CB0542"/>
    <w:rsid w:val="00CE28A9"/>
    <w:rsid w:val="00CF7CB1"/>
    <w:rsid w:val="00D00B2B"/>
    <w:rsid w:val="00D02860"/>
    <w:rsid w:val="00D20D93"/>
    <w:rsid w:val="00D24877"/>
    <w:rsid w:val="00D26EE2"/>
    <w:rsid w:val="00D3288A"/>
    <w:rsid w:val="00D42475"/>
    <w:rsid w:val="00D56592"/>
    <w:rsid w:val="00D72CED"/>
    <w:rsid w:val="00D8250F"/>
    <w:rsid w:val="00D95C4C"/>
    <w:rsid w:val="00DA36ED"/>
    <w:rsid w:val="00DA5BD5"/>
    <w:rsid w:val="00DB2A1C"/>
    <w:rsid w:val="00DB7003"/>
    <w:rsid w:val="00DD2145"/>
    <w:rsid w:val="00DD43FF"/>
    <w:rsid w:val="00DE34F1"/>
    <w:rsid w:val="00DE6151"/>
    <w:rsid w:val="00DE6160"/>
    <w:rsid w:val="00DE6BAE"/>
    <w:rsid w:val="00DF05BE"/>
    <w:rsid w:val="00DF4942"/>
    <w:rsid w:val="00E0310A"/>
    <w:rsid w:val="00E1121F"/>
    <w:rsid w:val="00E13001"/>
    <w:rsid w:val="00E16254"/>
    <w:rsid w:val="00E1680D"/>
    <w:rsid w:val="00E20259"/>
    <w:rsid w:val="00E244E1"/>
    <w:rsid w:val="00E330D7"/>
    <w:rsid w:val="00E57E29"/>
    <w:rsid w:val="00E627B1"/>
    <w:rsid w:val="00E70169"/>
    <w:rsid w:val="00E74069"/>
    <w:rsid w:val="00E83862"/>
    <w:rsid w:val="00E83F62"/>
    <w:rsid w:val="00E85558"/>
    <w:rsid w:val="00E9376C"/>
    <w:rsid w:val="00EA335E"/>
    <w:rsid w:val="00EA528C"/>
    <w:rsid w:val="00EA580C"/>
    <w:rsid w:val="00EB61D6"/>
    <w:rsid w:val="00EB6CFB"/>
    <w:rsid w:val="00EC5722"/>
    <w:rsid w:val="00EC6F8D"/>
    <w:rsid w:val="00ED08BE"/>
    <w:rsid w:val="00EE18C8"/>
    <w:rsid w:val="00EE49F4"/>
    <w:rsid w:val="00EF34E2"/>
    <w:rsid w:val="00F30DC6"/>
    <w:rsid w:val="00F32C23"/>
    <w:rsid w:val="00F421D4"/>
    <w:rsid w:val="00F51EE4"/>
    <w:rsid w:val="00F53DE9"/>
    <w:rsid w:val="00F576CB"/>
    <w:rsid w:val="00F63E10"/>
    <w:rsid w:val="00F7035D"/>
    <w:rsid w:val="00F71A02"/>
    <w:rsid w:val="00F81FA0"/>
    <w:rsid w:val="00F90601"/>
    <w:rsid w:val="00FA004A"/>
    <w:rsid w:val="00FA0D63"/>
    <w:rsid w:val="00FB2579"/>
    <w:rsid w:val="00FC33A8"/>
    <w:rsid w:val="00FC7914"/>
    <w:rsid w:val="00FD11E5"/>
    <w:rsid w:val="00FD1226"/>
    <w:rsid w:val="00FD7007"/>
    <w:rsid w:val="00FF17B1"/>
    <w:rsid w:val="00FF4830"/>
    <w:rsid w:val="00FF50BF"/>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2D8ED2B9"/>
  <w15:docId w15:val="{C5BE37A7-B4FC-4694-8B12-9E8757C57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tabs>
        <w:tab w:val="left" w:pos="567"/>
      </w:tabs>
      <w:snapToGrid w:val="0"/>
      <w:spacing w:after="240"/>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4"/>
      </w:numPr>
      <w:autoSpaceDE w:val="0"/>
      <w:autoSpaceDN w:val="0"/>
      <w:adjustRightInd w:val="0"/>
      <w:spacing w:after="120"/>
      <w:jc w:val="both"/>
    </w:pPr>
    <w:rPr>
      <w:rFonts w:ascii="Arial" w:eastAsia="SimSun" w:hAnsi="Arial" w:cs="Arial"/>
      <w:sz w:val="22"/>
      <w:szCs w:val="22"/>
      <w:u w:val="single"/>
      <w:lang w:val="en-GB"/>
    </w:rPr>
  </w:style>
  <w:style w:type="paragraph" w:styleId="FootnoteText">
    <w:name w:val="footnote text"/>
    <w:basedOn w:val="Normal"/>
    <w:link w:val="FootnoteTextChar"/>
    <w:uiPriority w:val="99"/>
    <w:semiHidden/>
    <w:unhideWhenUsed/>
    <w:rsid w:val="00E85558"/>
    <w:rPr>
      <w:sz w:val="20"/>
      <w:szCs w:val="20"/>
    </w:rPr>
  </w:style>
  <w:style w:type="character" w:customStyle="1" w:styleId="FootnoteTextChar">
    <w:name w:val="Footnote Text Char"/>
    <w:basedOn w:val="DefaultParagraphFont"/>
    <w:link w:val="FootnoteText"/>
    <w:uiPriority w:val="99"/>
    <w:semiHidden/>
    <w:rsid w:val="00E85558"/>
    <w:rPr>
      <w:rFonts w:ascii="Times New Roman" w:eastAsia="Times New Roman" w:hAnsi="Times New Roman"/>
    </w:rPr>
  </w:style>
  <w:style w:type="character" w:styleId="FootnoteReference">
    <w:name w:val="footnote reference"/>
    <w:basedOn w:val="DefaultParagraphFont"/>
    <w:uiPriority w:val="99"/>
    <w:semiHidden/>
    <w:unhideWhenUsed/>
    <w:rsid w:val="00E85558"/>
    <w:rPr>
      <w:vertAlign w:val="superscript"/>
    </w:rPr>
  </w:style>
  <w:style w:type="paragraph" w:styleId="ListParagraph">
    <w:name w:val="List Paragraph"/>
    <w:basedOn w:val="Normal"/>
    <w:uiPriority w:val="34"/>
    <w:qFormat/>
    <w:rsid w:val="0020406C"/>
    <w:pPr>
      <w:ind w:left="720"/>
      <w:contextualSpacing/>
    </w:pPr>
  </w:style>
  <w:style w:type="character" w:styleId="Hyperlink">
    <w:name w:val="Hyperlink"/>
    <w:basedOn w:val="DefaultParagraphFont"/>
    <w:uiPriority w:val="99"/>
    <w:unhideWhenUsed/>
    <w:rsid w:val="005B65BD"/>
    <w:rPr>
      <w:color w:val="0000FF" w:themeColor="hyperlink"/>
      <w:u w:val="single"/>
    </w:rPr>
  </w:style>
  <w:style w:type="character" w:styleId="FollowedHyperlink">
    <w:name w:val="FollowedHyperlink"/>
    <w:basedOn w:val="DefaultParagraphFont"/>
    <w:uiPriority w:val="99"/>
    <w:semiHidden/>
    <w:unhideWhenUsed/>
    <w:rsid w:val="00FB2579"/>
    <w:rPr>
      <w:color w:val="800080" w:themeColor="followedHyperlink"/>
      <w:u w:val="single"/>
    </w:rPr>
  </w:style>
  <w:style w:type="character" w:styleId="CommentReference">
    <w:name w:val="annotation reference"/>
    <w:basedOn w:val="DefaultParagraphFont"/>
    <w:uiPriority w:val="99"/>
    <w:semiHidden/>
    <w:unhideWhenUsed/>
    <w:rsid w:val="000268A8"/>
    <w:rPr>
      <w:sz w:val="16"/>
      <w:szCs w:val="16"/>
    </w:rPr>
  </w:style>
  <w:style w:type="paragraph" w:styleId="CommentText">
    <w:name w:val="annotation text"/>
    <w:basedOn w:val="Normal"/>
    <w:link w:val="CommentTextChar"/>
    <w:uiPriority w:val="99"/>
    <w:semiHidden/>
    <w:unhideWhenUsed/>
    <w:rsid w:val="000268A8"/>
    <w:rPr>
      <w:sz w:val="20"/>
      <w:szCs w:val="20"/>
    </w:rPr>
  </w:style>
  <w:style w:type="character" w:customStyle="1" w:styleId="CommentTextChar">
    <w:name w:val="Comment Text Char"/>
    <w:basedOn w:val="DefaultParagraphFont"/>
    <w:link w:val="CommentText"/>
    <w:uiPriority w:val="99"/>
    <w:semiHidden/>
    <w:rsid w:val="000268A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268A8"/>
    <w:rPr>
      <w:b/>
      <w:bCs/>
    </w:rPr>
  </w:style>
  <w:style w:type="character" w:customStyle="1" w:styleId="CommentSubjectChar">
    <w:name w:val="Comment Subject Char"/>
    <w:basedOn w:val="CommentTextChar"/>
    <w:link w:val="CommentSubject"/>
    <w:uiPriority w:val="99"/>
    <w:semiHidden/>
    <w:rsid w:val="000268A8"/>
    <w:rPr>
      <w:rFonts w:ascii="Times New Roman" w:eastAsia="Times New Roman" w:hAnsi="Times New Roman"/>
      <w:b/>
      <w:bCs/>
    </w:rPr>
  </w:style>
  <w:style w:type="paragraph" w:styleId="Revision">
    <w:name w:val="Revision"/>
    <w:hidden/>
    <w:uiPriority w:val="99"/>
    <w:semiHidden/>
    <w:rsid w:val="000268A8"/>
    <w:rPr>
      <w:rFonts w:ascii="Times New Roman" w:eastAsia="Times New Roman" w:hAnsi="Times New Roman"/>
      <w:sz w:val="24"/>
      <w:szCs w:val="24"/>
    </w:rPr>
  </w:style>
  <w:style w:type="table" w:customStyle="1" w:styleId="TableGrid1">
    <w:name w:val="Table Grid1"/>
    <w:basedOn w:val="TableNormal"/>
    <w:next w:val="TableGrid"/>
    <w:uiPriority w:val="59"/>
    <w:rsid w:val="00113D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Decisions/12.COM/13" TargetMode="External"/><Relationship Id="rId13" Type="http://schemas.openxmlformats.org/officeDocument/2006/relationships/hyperlink" Target="https://ich.unesco.org/fr/Decisions/11.COM/10" TargetMode="External"/><Relationship Id="rId18" Type="http://schemas.openxmlformats.org/officeDocument/2006/relationships/hyperlink" Target="https://ich.unesco.org/fr/resolutions/7.GA/11"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ich.unesco.org/fr/Resolutions/7.GA/6" TargetMode="External"/><Relationship Id="rId17" Type="http://schemas.openxmlformats.org/officeDocument/2006/relationships/hyperlink" Target="https://ich.unesco.org/fr/Decisions/12.COM/13" TargetMode="External"/><Relationship Id="rId2" Type="http://schemas.openxmlformats.org/officeDocument/2006/relationships/numbering" Target="numbering.xml"/><Relationship Id="rId16" Type="http://schemas.openxmlformats.org/officeDocument/2006/relationships/hyperlink" Target="http://unesdoc.unesco.org/images/0026/002608/260889f.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fr/D%C3%A9cisions/12.COM/1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ch.unesco.org/fr/Resolutions/7.GA/6" TargetMode="External"/><Relationship Id="rId23" Type="http://schemas.openxmlformats.org/officeDocument/2006/relationships/fontTable" Target="fontTable.xml"/><Relationship Id="rId10" Type="http://schemas.openxmlformats.org/officeDocument/2006/relationships/hyperlink" Target="https://ich.unesco.org/fr/D%C3%A9cisions/12.COM/13" TargetMode="External"/><Relationship Id="rId19" Type="http://schemas.openxmlformats.org/officeDocument/2006/relationships/hyperlink" Target="https://ich.unesco.org/fr/Decisions/12.COM/17" TargetMode="External"/><Relationship Id="rId4" Type="http://schemas.openxmlformats.org/officeDocument/2006/relationships/settings" Target="settings.xml"/><Relationship Id="rId9" Type="http://schemas.openxmlformats.org/officeDocument/2006/relationships/hyperlink" Target="https://ich.unesco.org/fr/D%C3%A9cisions/11.COM/10" TargetMode="External"/><Relationship Id="rId14" Type="http://schemas.openxmlformats.org/officeDocument/2006/relationships/hyperlink" Target="https://ich.unesco.org/fr/Decisions/12.COM/13"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53110-76AE-4D22-8141-9E27A755F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134</TotalTime>
  <Pages>8</Pages>
  <Words>3245</Words>
  <Characters>18497</Characters>
  <Application>Microsoft Office Word</Application>
  <DocSecurity>0</DocSecurity>
  <Lines>154</Lines>
  <Paragraphs>43</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
      <vt:lpstr/>
      <vt:lpstr/>
    </vt:vector>
  </TitlesOfParts>
  <Company>UNESCO</Company>
  <LinksUpToDate>false</LinksUpToDate>
  <CharactersWithSpaces>21699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Shin, Eunkyung</cp:lastModifiedBy>
  <cp:revision>27</cp:revision>
  <cp:lastPrinted>2018-09-27T17:41:00Z</cp:lastPrinted>
  <dcterms:created xsi:type="dcterms:W3CDTF">2018-10-25T09:18:00Z</dcterms:created>
  <dcterms:modified xsi:type="dcterms:W3CDTF">2018-10-29T08:55:00Z</dcterms:modified>
</cp:coreProperties>
</file>