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4F5F7" w14:textId="03CDF402" w:rsidR="00EC6F8D" w:rsidRPr="00293C60" w:rsidRDefault="00EC6F8D" w:rsidP="00B4032C">
      <w:pPr>
        <w:spacing w:before="1440"/>
        <w:jc w:val="center"/>
        <w:rPr>
          <w:rFonts w:ascii="Arial" w:hAnsi="Arial" w:cs="Arial"/>
          <w:b/>
          <w:sz w:val="22"/>
          <w:szCs w:val="22"/>
        </w:rPr>
      </w:pPr>
      <w:r>
        <w:rPr>
          <w:rFonts w:ascii="Arial" w:hAnsi="Arial"/>
          <w:b/>
          <w:sz w:val="22"/>
          <w:szCs w:val="22"/>
        </w:rPr>
        <w:t>CONVENTION POUR LA SAUVEGARDE</w:t>
      </w:r>
      <w:r w:rsidR="00B4032C" w:rsidRPr="00B4032C">
        <w:rPr>
          <w:rFonts w:ascii="Arial" w:hAnsi="Arial"/>
          <w:b/>
          <w:sz w:val="22"/>
          <w:szCs w:val="22"/>
        </w:rPr>
        <w:t xml:space="preserve"> </w:t>
      </w:r>
      <w:r w:rsidR="00B4032C">
        <w:rPr>
          <w:rFonts w:ascii="Arial" w:hAnsi="Arial"/>
          <w:b/>
          <w:sz w:val="22"/>
          <w:szCs w:val="22"/>
        </w:rPr>
        <w:t>DU</w:t>
      </w:r>
      <w:r>
        <w:rPr>
          <w:rFonts w:ascii="Arial" w:hAnsi="Arial"/>
          <w:b/>
          <w:sz w:val="22"/>
          <w:szCs w:val="22"/>
        </w:rPr>
        <w:br/>
        <w:t>PATRIMOINE CULTUREL IMMATÉRIEL</w:t>
      </w:r>
    </w:p>
    <w:p w14:paraId="1A8CE2FE" w14:textId="64F76B88" w:rsidR="00EC6F8D" w:rsidRPr="00293C60" w:rsidRDefault="00EC6F8D" w:rsidP="001119EC">
      <w:pPr>
        <w:spacing w:before="1200"/>
        <w:jc w:val="center"/>
        <w:rPr>
          <w:rFonts w:ascii="Arial" w:hAnsi="Arial" w:cs="Arial"/>
          <w:b/>
          <w:sz w:val="22"/>
          <w:szCs w:val="22"/>
        </w:rPr>
      </w:pPr>
      <w:r>
        <w:rPr>
          <w:rFonts w:ascii="Arial" w:hAnsi="Arial"/>
          <w:b/>
          <w:sz w:val="22"/>
          <w:szCs w:val="22"/>
        </w:rPr>
        <w:t xml:space="preserve">COMITÉ INTERGOUVERNEMENTAL DE </w:t>
      </w:r>
      <w:r w:rsidR="001119EC">
        <w:rPr>
          <w:rFonts w:ascii="Arial" w:hAnsi="Arial"/>
          <w:b/>
          <w:sz w:val="22"/>
          <w:szCs w:val="22"/>
        </w:rPr>
        <w:t>SAUVEGARDE</w:t>
      </w:r>
      <w:r>
        <w:rPr>
          <w:rFonts w:ascii="Arial" w:hAnsi="Arial"/>
          <w:b/>
          <w:sz w:val="22"/>
          <w:szCs w:val="22"/>
        </w:rPr>
        <w:br/>
        <w:t>DU PATRIMOINE CULTUREL IMMATÉRIEL</w:t>
      </w:r>
    </w:p>
    <w:p w14:paraId="29ECF115" w14:textId="77777777" w:rsidR="00EC6F8D" w:rsidRPr="00293C60" w:rsidRDefault="00C7433F" w:rsidP="001D14FE">
      <w:pPr>
        <w:spacing w:before="840"/>
        <w:jc w:val="center"/>
        <w:rPr>
          <w:rFonts w:ascii="Arial" w:hAnsi="Arial" w:cs="Arial"/>
          <w:b/>
          <w:sz w:val="22"/>
          <w:szCs w:val="22"/>
        </w:rPr>
      </w:pPr>
      <w:r>
        <w:rPr>
          <w:rFonts w:ascii="Arial" w:hAnsi="Arial"/>
          <w:b/>
          <w:sz w:val="22"/>
          <w:szCs w:val="22"/>
        </w:rPr>
        <w:t>Treizième session</w:t>
      </w:r>
    </w:p>
    <w:p w14:paraId="01E97F0F" w14:textId="02E536DF" w:rsidR="009D5428" w:rsidRPr="00337CEB" w:rsidRDefault="001D14FE" w:rsidP="001D14FE">
      <w:pPr>
        <w:jc w:val="center"/>
        <w:rPr>
          <w:rFonts w:ascii="Arial" w:eastAsiaTheme="minorEastAsia" w:hAnsi="Arial" w:cs="Arial"/>
          <w:b/>
          <w:sz w:val="22"/>
          <w:szCs w:val="22"/>
        </w:rPr>
      </w:pPr>
      <w:r>
        <w:rPr>
          <w:rFonts w:ascii="Arial" w:hAnsi="Arial"/>
          <w:b/>
          <w:sz w:val="22"/>
          <w:szCs w:val="22"/>
        </w:rPr>
        <w:t>Port</w:t>
      </w:r>
      <w:r w:rsidR="001119EC">
        <w:rPr>
          <w:rFonts w:ascii="Arial" w:hAnsi="Arial"/>
          <w:b/>
          <w:sz w:val="22"/>
          <w:szCs w:val="22"/>
        </w:rPr>
        <w:t>-</w:t>
      </w:r>
      <w:r>
        <w:rPr>
          <w:rFonts w:ascii="Arial" w:hAnsi="Arial"/>
          <w:b/>
          <w:sz w:val="22"/>
          <w:szCs w:val="22"/>
        </w:rPr>
        <w:t>Louis, République de Maurice</w:t>
      </w:r>
    </w:p>
    <w:p w14:paraId="75BC2069" w14:textId="2E76C328" w:rsidR="00EC6F8D" w:rsidRPr="00337CEB" w:rsidRDefault="001D14FE" w:rsidP="001119EC">
      <w:pPr>
        <w:jc w:val="center"/>
        <w:rPr>
          <w:rFonts w:ascii="Arial" w:eastAsiaTheme="minorEastAsia" w:hAnsi="Arial" w:cs="Arial"/>
          <w:b/>
          <w:sz w:val="22"/>
          <w:szCs w:val="22"/>
        </w:rPr>
      </w:pPr>
      <w:r>
        <w:rPr>
          <w:rFonts w:ascii="Arial" w:hAnsi="Arial"/>
          <w:b/>
          <w:sz w:val="22"/>
          <w:szCs w:val="22"/>
        </w:rPr>
        <w:t>26 novembre – 1</w:t>
      </w:r>
      <w:r w:rsidRPr="006D7FBA">
        <w:rPr>
          <w:rFonts w:ascii="Arial" w:hAnsi="Arial"/>
          <w:b/>
          <w:sz w:val="22"/>
          <w:szCs w:val="22"/>
          <w:vertAlign w:val="superscript"/>
        </w:rPr>
        <w:t>er</w:t>
      </w:r>
      <w:r w:rsidR="001119EC">
        <w:rPr>
          <w:rFonts w:ascii="Arial" w:hAnsi="Arial"/>
          <w:b/>
          <w:sz w:val="22"/>
          <w:szCs w:val="22"/>
        </w:rPr>
        <w:t xml:space="preserve"> </w:t>
      </w:r>
      <w:r>
        <w:rPr>
          <w:rFonts w:ascii="Arial" w:hAnsi="Arial"/>
          <w:b/>
          <w:sz w:val="22"/>
          <w:szCs w:val="22"/>
        </w:rPr>
        <w:t>décembre 2018</w:t>
      </w:r>
    </w:p>
    <w:p w14:paraId="4D3464AA" w14:textId="62F4BB4A" w:rsidR="00EC6F8D" w:rsidRPr="00293C60" w:rsidRDefault="00EC6F8D" w:rsidP="006D7FBA">
      <w:pPr>
        <w:pStyle w:val="Sansinterligne2"/>
        <w:spacing w:before="1080"/>
        <w:jc w:val="center"/>
        <w:rPr>
          <w:rFonts w:ascii="Arial" w:hAnsi="Arial" w:cs="Arial"/>
          <w:b/>
          <w:sz w:val="22"/>
          <w:szCs w:val="22"/>
        </w:rPr>
      </w:pPr>
      <w:r>
        <w:rPr>
          <w:rFonts w:ascii="Arial" w:hAnsi="Arial"/>
          <w:b/>
          <w:sz w:val="22"/>
          <w:szCs w:val="22"/>
          <w:u w:val="single"/>
        </w:rPr>
        <w:t>Point 15 de l</w:t>
      </w:r>
      <w:r w:rsidR="0075127A">
        <w:rPr>
          <w:rFonts w:ascii="Arial" w:hAnsi="Arial"/>
          <w:b/>
          <w:sz w:val="22"/>
          <w:szCs w:val="22"/>
          <w:u w:val="single"/>
        </w:rPr>
        <w:t>’</w:t>
      </w:r>
      <w:r>
        <w:rPr>
          <w:rFonts w:ascii="Arial" w:hAnsi="Arial"/>
          <w:b/>
          <w:sz w:val="22"/>
          <w:szCs w:val="22"/>
          <w:u w:val="single"/>
        </w:rPr>
        <w:t>ordre du jour provisoire</w:t>
      </w:r>
      <w:r>
        <w:rPr>
          <w:rFonts w:ascii="Arial" w:hAnsi="Arial"/>
          <w:b/>
          <w:sz w:val="22"/>
          <w:szCs w:val="22"/>
        </w:rPr>
        <w:t>:</w:t>
      </w:r>
    </w:p>
    <w:p w14:paraId="6E06BCB9" w14:textId="6520C2F6" w:rsidR="00EC6F8D" w:rsidRPr="00293C60" w:rsidRDefault="00FC5666" w:rsidP="006D7FBA">
      <w:pPr>
        <w:pStyle w:val="Sansinterligne2"/>
        <w:spacing w:after="960"/>
        <w:jc w:val="center"/>
        <w:rPr>
          <w:rFonts w:ascii="Arial" w:hAnsi="Arial" w:cs="Arial"/>
          <w:b/>
          <w:sz w:val="22"/>
          <w:szCs w:val="22"/>
        </w:rPr>
      </w:pPr>
      <w:r>
        <w:rPr>
          <w:rFonts w:ascii="Arial" w:hAnsi="Arial"/>
          <w:b/>
          <w:sz w:val="22"/>
          <w:szCs w:val="22"/>
        </w:rPr>
        <w:t>Nombre de dossiers soumis pour le</w:t>
      </w:r>
      <w:r w:rsidR="00B06119">
        <w:rPr>
          <w:rFonts w:ascii="Arial" w:hAnsi="Arial"/>
          <w:b/>
          <w:sz w:val="22"/>
          <w:szCs w:val="22"/>
        </w:rPr>
        <w:t>s</w:t>
      </w:r>
      <w:r>
        <w:rPr>
          <w:rFonts w:ascii="Arial" w:hAnsi="Arial"/>
          <w:b/>
          <w:sz w:val="22"/>
          <w:szCs w:val="22"/>
        </w:rPr>
        <w:t xml:space="preserve"> cycle</w:t>
      </w:r>
      <w:r w:rsidR="00B06119">
        <w:rPr>
          <w:rFonts w:ascii="Arial" w:hAnsi="Arial"/>
          <w:b/>
          <w:sz w:val="22"/>
          <w:szCs w:val="22"/>
        </w:rPr>
        <w:t>s</w:t>
      </w:r>
      <w:r>
        <w:rPr>
          <w:rFonts w:ascii="Arial" w:hAnsi="Arial"/>
          <w:b/>
          <w:sz w:val="22"/>
          <w:szCs w:val="22"/>
        </w:rPr>
        <w:t xml:space="preserve"> 2018 et 2019 et</w:t>
      </w:r>
      <w:r w:rsidR="00A0273A">
        <w:rPr>
          <w:rFonts w:ascii="Arial" w:hAnsi="Arial"/>
          <w:b/>
          <w:sz w:val="22"/>
          <w:szCs w:val="22"/>
        </w:rPr>
        <w:t xml:space="preserve"> </w:t>
      </w:r>
      <w:r w:rsidR="00440874">
        <w:rPr>
          <w:rFonts w:ascii="Arial" w:hAnsi="Arial"/>
          <w:b/>
          <w:sz w:val="22"/>
          <w:szCs w:val="22"/>
        </w:rPr>
        <w:br/>
      </w:r>
      <w:r>
        <w:rPr>
          <w:rFonts w:ascii="Arial" w:hAnsi="Arial"/>
          <w:b/>
          <w:sz w:val="22"/>
          <w:szCs w:val="22"/>
        </w:rPr>
        <w:t xml:space="preserve">nombre de dossiers </w:t>
      </w:r>
      <w:r w:rsidR="00B06119">
        <w:rPr>
          <w:rFonts w:ascii="Arial" w:hAnsi="Arial"/>
          <w:b/>
          <w:sz w:val="22"/>
          <w:szCs w:val="22"/>
        </w:rPr>
        <w:t>pouvant</w:t>
      </w:r>
      <w:r>
        <w:rPr>
          <w:rFonts w:ascii="Arial" w:hAnsi="Arial"/>
          <w:b/>
          <w:sz w:val="22"/>
          <w:szCs w:val="22"/>
        </w:rPr>
        <w:t xml:space="preserve"> être traités </w:t>
      </w:r>
      <w:r w:rsidR="00B06119">
        <w:rPr>
          <w:rFonts w:ascii="Arial" w:hAnsi="Arial"/>
          <w:b/>
          <w:sz w:val="22"/>
          <w:szCs w:val="22"/>
        </w:rPr>
        <w:t xml:space="preserve">pour </w:t>
      </w:r>
      <w:r>
        <w:rPr>
          <w:rFonts w:ascii="Arial" w:hAnsi="Arial"/>
          <w:b/>
          <w:sz w:val="22"/>
          <w:szCs w:val="22"/>
        </w:rPr>
        <w:t>les cycles 2020 et 2021</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BE506D" w14:paraId="05FEEFAB" w14:textId="77777777" w:rsidTr="00EC6F8D">
        <w:trPr>
          <w:jc w:val="center"/>
        </w:trPr>
        <w:tc>
          <w:tcPr>
            <w:tcW w:w="5670" w:type="dxa"/>
            <w:vAlign w:val="center"/>
          </w:tcPr>
          <w:p w14:paraId="138305C9" w14:textId="77777777" w:rsidR="00EC6F8D" w:rsidRPr="00293C60" w:rsidRDefault="00EC6F8D" w:rsidP="00CA56BB">
            <w:pPr>
              <w:pStyle w:val="Sansinterligne1"/>
              <w:spacing w:before="200" w:after="200"/>
              <w:jc w:val="center"/>
              <w:rPr>
                <w:rFonts w:ascii="Arial" w:hAnsi="Arial" w:cs="Arial"/>
                <w:b/>
                <w:sz w:val="22"/>
                <w:szCs w:val="22"/>
              </w:rPr>
            </w:pPr>
            <w:r>
              <w:rPr>
                <w:rFonts w:ascii="Arial" w:hAnsi="Arial"/>
                <w:b/>
                <w:sz w:val="22"/>
                <w:szCs w:val="22"/>
              </w:rPr>
              <w:t>Résumé</w:t>
            </w:r>
          </w:p>
          <w:p w14:paraId="772A7A96" w14:textId="7B4EB6AB" w:rsidR="008C179C" w:rsidRDefault="00FC5666" w:rsidP="008C179C">
            <w:pPr>
              <w:pStyle w:val="Sansinterligne1"/>
              <w:spacing w:before="200" w:after="200"/>
              <w:jc w:val="both"/>
              <w:rPr>
                <w:rFonts w:ascii="Arial" w:hAnsi="Arial" w:cs="Arial"/>
                <w:sz w:val="22"/>
                <w:szCs w:val="22"/>
              </w:rPr>
            </w:pPr>
            <w:r>
              <w:rPr>
                <w:rFonts w:ascii="Arial" w:hAnsi="Arial"/>
                <w:sz w:val="22"/>
                <w:szCs w:val="22"/>
              </w:rPr>
              <w:t xml:space="preserve">Conformément au paragraphe 33 des Directives opérationnelles, il appartient au </w:t>
            </w:r>
            <w:r>
              <w:rPr>
                <w:rFonts w:ascii="Arial" w:hAnsi="Arial"/>
                <w:bCs/>
                <w:sz w:val="22"/>
                <w:szCs w:val="22"/>
              </w:rPr>
              <w:t>Comité</w:t>
            </w:r>
            <w:r>
              <w:rPr>
                <w:rFonts w:ascii="Arial" w:hAnsi="Arial"/>
                <w:sz w:val="22"/>
                <w:szCs w:val="22"/>
              </w:rPr>
              <w:t xml:space="preserve"> de déterminer deux ans à l</w:t>
            </w:r>
            <w:r w:rsidR="0075127A">
              <w:rPr>
                <w:rFonts w:ascii="Arial" w:hAnsi="Arial"/>
                <w:sz w:val="22"/>
                <w:szCs w:val="22"/>
              </w:rPr>
              <w:t>’</w:t>
            </w:r>
            <w:r>
              <w:rPr>
                <w:rFonts w:ascii="Arial" w:hAnsi="Arial"/>
                <w:sz w:val="22"/>
                <w:szCs w:val="22"/>
              </w:rPr>
              <w:t xml:space="preserve">avance, selon les ressources disponibles et ses capacités, le nombre de candidatures aux listes de la Convention, de propositions </w:t>
            </w:r>
            <w:r w:rsidR="0075127A">
              <w:rPr>
                <w:rFonts w:ascii="Arial" w:hAnsi="Arial"/>
                <w:sz w:val="22"/>
                <w:szCs w:val="22"/>
              </w:rPr>
              <w:t>’</w:t>
            </w:r>
            <w:r w:rsidR="00B06119">
              <w:rPr>
                <w:rFonts w:ascii="Arial" w:hAnsi="Arial"/>
                <w:sz w:val="22"/>
                <w:szCs w:val="22"/>
              </w:rPr>
              <w:t>au</w:t>
            </w:r>
            <w:r>
              <w:rPr>
                <w:rFonts w:ascii="Arial" w:hAnsi="Arial"/>
                <w:sz w:val="22"/>
                <w:szCs w:val="22"/>
              </w:rPr>
              <w:t xml:space="preserve"> </w:t>
            </w:r>
            <w:r w:rsidR="00D83343">
              <w:rPr>
                <w:rFonts w:ascii="Arial" w:hAnsi="Arial"/>
                <w:sz w:val="22"/>
                <w:szCs w:val="22"/>
              </w:rPr>
              <w:t>r</w:t>
            </w:r>
            <w:r>
              <w:rPr>
                <w:rFonts w:ascii="Arial" w:hAnsi="Arial"/>
                <w:sz w:val="22"/>
                <w:szCs w:val="22"/>
              </w:rPr>
              <w:t>egistre des bonnes pratiques de sauvegarde et de demandes d</w:t>
            </w:r>
            <w:r w:rsidR="0075127A">
              <w:rPr>
                <w:rFonts w:ascii="Arial" w:hAnsi="Arial"/>
                <w:sz w:val="22"/>
                <w:szCs w:val="22"/>
              </w:rPr>
              <w:t>’</w:t>
            </w:r>
            <w:r>
              <w:rPr>
                <w:rFonts w:ascii="Arial" w:hAnsi="Arial"/>
                <w:sz w:val="22"/>
                <w:szCs w:val="22"/>
              </w:rPr>
              <w:t>assistance internationale supérieures à 100 000 dollars des États-Unis qui pourront être traité</w:t>
            </w:r>
            <w:r w:rsidR="008B0533">
              <w:rPr>
                <w:rFonts w:ascii="Arial" w:hAnsi="Arial"/>
                <w:sz w:val="22"/>
                <w:szCs w:val="22"/>
              </w:rPr>
              <w:t>e</w:t>
            </w:r>
            <w:r>
              <w:rPr>
                <w:rFonts w:ascii="Arial" w:hAnsi="Arial"/>
                <w:sz w:val="22"/>
                <w:szCs w:val="22"/>
              </w:rPr>
              <w:t xml:space="preserve">s au cours des deux cycles suivants. À cet effet, ce document </w:t>
            </w:r>
            <w:r w:rsidR="008B0533">
              <w:rPr>
                <w:rFonts w:ascii="Arial" w:hAnsi="Arial"/>
                <w:sz w:val="22"/>
                <w:szCs w:val="22"/>
              </w:rPr>
              <w:t xml:space="preserve">donne </w:t>
            </w:r>
            <w:r>
              <w:rPr>
                <w:rFonts w:ascii="Arial" w:hAnsi="Arial"/>
                <w:sz w:val="22"/>
                <w:szCs w:val="22"/>
              </w:rPr>
              <w:t xml:space="preserve">un </w:t>
            </w:r>
            <w:r w:rsidR="001A4192">
              <w:rPr>
                <w:rFonts w:ascii="Arial" w:hAnsi="Arial"/>
                <w:sz w:val="22"/>
                <w:szCs w:val="22"/>
              </w:rPr>
              <w:t xml:space="preserve">aperçu </w:t>
            </w:r>
            <w:r>
              <w:rPr>
                <w:rFonts w:ascii="Arial" w:hAnsi="Arial"/>
                <w:sz w:val="22"/>
                <w:szCs w:val="22"/>
              </w:rPr>
              <w:t xml:space="preserve">de la répartition des dossiers soumis au cours des cycles 2018 et 2019 par rapport à la charge de travail </w:t>
            </w:r>
            <w:r w:rsidR="001A4192">
              <w:rPr>
                <w:rFonts w:ascii="Arial" w:hAnsi="Arial"/>
                <w:sz w:val="22"/>
                <w:szCs w:val="22"/>
              </w:rPr>
              <w:t xml:space="preserve">prévu </w:t>
            </w:r>
            <w:r>
              <w:rPr>
                <w:rFonts w:ascii="Arial" w:hAnsi="Arial"/>
                <w:sz w:val="22"/>
                <w:szCs w:val="22"/>
              </w:rPr>
              <w:t>du Comité, de l</w:t>
            </w:r>
            <w:r w:rsidR="0075127A">
              <w:rPr>
                <w:rFonts w:ascii="Arial" w:hAnsi="Arial"/>
                <w:sz w:val="22"/>
                <w:szCs w:val="22"/>
              </w:rPr>
              <w:t>’</w:t>
            </w:r>
            <w:r>
              <w:rPr>
                <w:rFonts w:ascii="Arial" w:hAnsi="Arial"/>
                <w:sz w:val="22"/>
                <w:szCs w:val="22"/>
              </w:rPr>
              <w:t>Organe d</w:t>
            </w:r>
            <w:r w:rsidR="0075127A">
              <w:rPr>
                <w:rFonts w:ascii="Arial" w:hAnsi="Arial"/>
                <w:sz w:val="22"/>
                <w:szCs w:val="22"/>
              </w:rPr>
              <w:t>’</w:t>
            </w:r>
            <w:r>
              <w:rPr>
                <w:rFonts w:ascii="Arial" w:hAnsi="Arial"/>
                <w:sz w:val="22"/>
                <w:szCs w:val="22"/>
              </w:rPr>
              <w:t>évaluation et du Secrétariat pendant cette période.</w:t>
            </w:r>
          </w:p>
          <w:p w14:paraId="206962C5" w14:textId="36B1860D" w:rsidR="00EC6F8D" w:rsidRPr="00293C60" w:rsidRDefault="00EC6F8D" w:rsidP="00376B83">
            <w:pPr>
              <w:pStyle w:val="Sansinterligne1"/>
              <w:spacing w:before="200" w:after="200"/>
              <w:jc w:val="both"/>
              <w:rPr>
                <w:rFonts w:ascii="Arial" w:hAnsi="Arial" w:cs="Arial"/>
                <w:b/>
                <w:sz w:val="22"/>
                <w:szCs w:val="22"/>
              </w:rPr>
            </w:pPr>
            <w:r>
              <w:rPr>
                <w:rFonts w:ascii="Arial" w:hAnsi="Arial"/>
                <w:b/>
                <w:sz w:val="22"/>
                <w:szCs w:val="22"/>
              </w:rPr>
              <w:t xml:space="preserve">Décision requise : </w:t>
            </w:r>
            <w:r>
              <w:rPr>
                <w:rFonts w:ascii="Arial" w:hAnsi="Arial"/>
                <w:bCs/>
                <w:sz w:val="22"/>
                <w:szCs w:val="22"/>
              </w:rPr>
              <w:t>paragraphe 12</w:t>
            </w:r>
          </w:p>
        </w:tc>
      </w:tr>
    </w:tbl>
    <w:p w14:paraId="4A5CD909" w14:textId="6500A5AC" w:rsidR="007D70FE" w:rsidRDefault="00655736" w:rsidP="007F10AB">
      <w:pPr>
        <w:pStyle w:val="COMPara"/>
        <w:numPr>
          <w:ilvl w:val="0"/>
          <w:numId w:val="13"/>
        </w:numPr>
        <w:ind w:left="567" w:hanging="567"/>
        <w:jc w:val="both"/>
      </w:pPr>
      <w:r>
        <w:br w:type="page"/>
      </w:r>
      <w:r w:rsidR="001A4192">
        <w:lastRenderedPageBreak/>
        <w:t>Le</w:t>
      </w:r>
      <w:r>
        <w:t xml:space="preserve"> paragraphe 33 des Directives opérationnelles</w:t>
      </w:r>
      <w:r w:rsidR="001A4192">
        <w:t xml:space="preserve"> stipule</w:t>
      </w:r>
      <w:r>
        <w:t xml:space="preserve"> que « [l]e Comité détermine deux ans à l</w:t>
      </w:r>
      <w:r w:rsidR="0075127A">
        <w:t>’</w:t>
      </w:r>
      <w:r>
        <w:t>avance, selon les ressources disponibles et ses capacités, le nombre de dossiers qui pourront être traités au cours des deux cycles suivants. Ce plafond s</w:t>
      </w:r>
      <w:r w:rsidR="0075127A">
        <w:t>’</w:t>
      </w:r>
      <w:r>
        <w:t>applique à l</w:t>
      </w:r>
      <w:r w:rsidR="0075127A">
        <w:t>’</w:t>
      </w:r>
      <w:r>
        <w:t>ensemble des dossiers constitué par les candidatures à la Liste du patrimoine culturel immatériel nécessitant une sauvegarde urgente et à la Liste représentative du patrimoine culturel immatériel de l</w:t>
      </w:r>
      <w:r w:rsidR="0075127A">
        <w:t>’</w:t>
      </w:r>
      <w:r>
        <w:t>humanité, les propositions de programmes, projets et activités reflétant le mieux les principes et objectifs de la Convention et les demandes d</w:t>
      </w:r>
      <w:r w:rsidR="0075127A">
        <w:t>’</w:t>
      </w:r>
      <w:r>
        <w:t>assistance internationale supérieures à 100 000 dollars des États-Unis. »</w:t>
      </w:r>
    </w:p>
    <w:p w14:paraId="203D2D45" w14:textId="229E8D8E" w:rsidR="007F10AB" w:rsidRPr="008B0500" w:rsidRDefault="008B0500" w:rsidP="004B15B9">
      <w:pPr>
        <w:pStyle w:val="COMPara"/>
        <w:numPr>
          <w:ilvl w:val="0"/>
          <w:numId w:val="13"/>
        </w:numPr>
        <w:ind w:left="567" w:hanging="567"/>
        <w:jc w:val="both"/>
      </w:pPr>
      <w:r>
        <w:t>Bien que cette question ait été portée à l</w:t>
      </w:r>
      <w:r w:rsidR="0075127A">
        <w:t>’</w:t>
      </w:r>
      <w:r>
        <w:t>attention du Comité chaque année, le Secrétariat ne l</w:t>
      </w:r>
      <w:r w:rsidR="0075127A">
        <w:t>’</w:t>
      </w:r>
      <w:r>
        <w:t>a</w:t>
      </w:r>
      <w:r w:rsidR="001A4192">
        <w:t>vait</w:t>
      </w:r>
      <w:r>
        <w:t xml:space="preserve"> pas incluse </w:t>
      </w:r>
      <w:r w:rsidR="002C0A86">
        <w:t xml:space="preserve">à </w:t>
      </w:r>
      <w:r>
        <w:t>l</w:t>
      </w:r>
      <w:r w:rsidR="0075127A">
        <w:t>’</w:t>
      </w:r>
      <w:r>
        <w:t>ordre du jour de la douzième session, considérant que le Comité avait déjà fixé le plafond pour les dossiers du cycle 2019 lors de sa onzième session. Suivant ce schéma, et afin d</w:t>
      </w:r>
      <w:r w:rsidR="0075127A">
        <w:t>’</w:t>
      </w:r>
      <w:r>
        <w:t xml:space="preserve">alléger la charge de travail du Comité, il est proposé que le Comité examine cette question tous les deux ans lors des sessions </w:t>
      </w:r>
      <w:r w:rsidR="001551D4">
        <w:t xml:space="preserve">durant </w:t>
      </w:r>
      <w:r>
        <w:t>les années impaires, et non pas chaque année. En d</w:t>
      </w:r>
      <w:r w:rsidR="0075127A">
        <w:t>’</w:t>
      </w:r>
      <w:r>
        <w:t>autres termes, le Comité prend note du nombre de dossiers soumis pour deux ans (l</w:t>
      </w:r>
      <w:r w:rsidR="0075127A">
        <w:t>’</w:t>
      </w:r>
      <w:r>
        <w:t>année du Comité en question et l</w:t>
      </w:r>
      <w:r w:rsidR="0075127A">
        <w:t>’</w:t>
      </w:r>
      <w:r>
        <w:t xml:space="preserve">année suivante). Parallèlement, le Comité détermine le nombre total de dossiers </w:t>
      </w:r>
      <w:r w:rsidR="001551D4">
        <w:t>pouvant</w:t>
      </w:r>
      <w:r>
        <w:t xml:space="preserve"> être traités au cours des deux cycles suivants (étant donné que le Comité ne peut pas prévoir la répartition des dossiers entre les listes, le registre et l</w:t>
      </w:r>
      <w:r w:rsidR="0075127A">
        <w:t>’</w:t>
      </w:r>
      <w:r>
        <w:t>assistance internationale pour les cycles postérieurs à l</w:t>
      </w:r>
      <w:r w:rsidR="0075127A">
        <w:t>’</w:t>
      </w:r>
      <w:r>
        <w:t>année suivant immédiatement la session en question). Le Comité est donc invité à cette occasion à prendre note du nombre de dossiers soumis pour les cycles 2018 et 2019 et à déterminer le nombre total de dossiers qui pourront être traités pour les cycles 2020 et 2021.</w:t>
      </w:r>
    </w:p>
    <w:p w14:paraId="5F2966A2" w14:textId="6A461EA3" w:rsidR="007F10AB" w:rsidRDefault="007F10AB" w:rsidP="007F10AB">
      <w:pPr>
        <w:pStyle w:val="COMPara"/>
        <w:numPr>
          <w:ilvl w:val="0"/>
          <w:numId w:val="0"/>
        </w:numPr>
        <w:spacing w:before="240"/>
        <w:rPr>
          <w:b/>
        </w:rPr>
      </w:pPr>
      <w:r>
        <w:rPr>
          <w:b/>
        </w:rPr>
        <w:t>Rapport sur les cycles 2018 et 2019</w:t>
      </w:r>
    </w:p>
    <w:p w14:paraId="52534086" w14:textId="0A1698DA" w:rsidR="008F71C8" w:rsidRPr="008F71C8" w:rsidRDefault="00076639" w:rsidP="0013621B">
      <w:pPr>
        <w:pStyle w:val="COMPara"/>
        <w:numPr>
          <w:ilvl w:val="0"/>
          <w:numId w:val="13"/>
        </w:numPr>
        <w:ind w:left="567" w:hanging="567"/>
        <w:jc w:val="both"/>
      </w:pPr>
      <w:r>
        <w:t>Lors de sa onzième session en 2016, le Comité a fixé un plafond de cinquante dossiers applicable aux cycles 2018 et 2019 respectivement, et a décidé qu</w:t>
      </w:r>
      <w:r w:rsidR="0075127A">
        <w:t>’</w:t>
      </w:r>
      <w:r>
        <w:t>au moins un dossier par État soumissionnaire devait être traité au cours de cette période, dans la limite du plafond fixé (</w:t>
      </w:r>
      <w:hyperlink r:id="rId8" w:history="1">
        <w:r>
          <w:rPr>
            <w:rStyle w:val="Hyperlink"/>
          </w:rPr>
          <w:t>décision 11.COM 12</w:t>
        </w:r>
      </w:hyperlink>
      <w:r>
        <w:t xml:space="preserve">). Il a en outre demandé au Secrétariat « de lui </w:t>
      </w:r>
      <w:r w:rsidR="008F1696">
        <w:t>rendre compte</w:t>
      </w:r>
      <w:r>
        <w:t xml:space="preserve"> du nombre de dossiers soumis pour le cycle 2018</w:t>
      </w:r>
      <w:r w:rsidR="008F1696">
        <w:t>,</w:t>
      </w:r>
      <w:r>
        <w:t xml:space="preserve"> et de son expérience dans l</w:t>
      </w:r>
      <w:r w:rsidR="0075127A">
        <w:t>’</w:t>
      </w:r>
      <w:r>
        <w:t xml:space="preserve">application des Directives opérationnelles et de la présente décision à sa douzième session ». </w:t>
      </w:r>
      <w:r w:rsidR="002E76A6">
        <w:t>À</w:t>
      </w:r>
      <w:r w:rsidR="00301916">
        <w:t xml:space="preserve"> </w:t>
      </w:r>
      <w:r>
        <w:t xml:space="preserve">la date limite du 2 avril 2018 (le premier jour ouvré suivant la date limite du 31 mars 2018), le Secrétariat avait </w:t>
      </w:r>
      <w:r w:rsidRPr="001119EC">
        <w:t xml:space="preserve">reçu </w:t>
      </w:r>
      <w:r w:rsidRPr="006D7FBA">
        <w:t>cinquante-cinq</w:t>
      </w:r>
      <w:r w:rsidRPr="001119EC">
        <w:t xml:space="preserve"> nouveaux</w:t>
      </w:r>
      <w:r>
        <w:t xml:space="preserve"> dossiers </w:t>
      </w:r>
      <w:r w:rsidR="008F1696">
        <w:t xml:space="preserve">pour le cycle 2019 </w:t>
      </w:r>
      <w:r>
        <w:t xml:space="preserve">provenant de soixante-quatre États, </w:t>
      </w:r>
      <w:r w:rsidRPr="001119EC">
        <w:t xml:space="preserve">contre </w:t>
      </w:r>
      <w:r w:rsidRPr="006D7FBA">
        <w:t>cinquante-sept</w:t>
      </w:r>
      <w:r>
        <w:t xml:space="preserve"> </w:t>
      </w:r>
      <w:r w:rsidR="007D1CEC">
        <w:t xml:space="preserve">pour le cycle 2018 </w:t>
      </w:r>
      <w:r>
        <w:t xml:space="preserve">provenant de cinquante-sept États parties. Outre les nouveaux dossiers reçus, il y avait de nombreux dossiers </w:t>
      </w:r>
      <w:r w:rsidR="00816335">
        <w:t xml:space="preserve">soumis au cours </w:t>
      </w:r>
      <w:r>
        <w:t>de précédents cycles (« dossiers en attente ») qui n</w:t>
      </w:r>
      <w:r w:rsidR="0075127A">
        <w:t>’</w:t>
      </w:r>
      <w:r>
        <w:t xml:space="preserve">avaient pas été traités en raison du plafond fixé ou des capacités limitées du Comité ; le nombre de dossiers recevables pour le cycle 2019 </w:t>
      </w:r>
      <w:r w:rsidRPr="001119EC">
        <w:t>s</w:t>
      </w:r>
      <w:r w:rsidR="0075127A" w:rsidRPr="001119EC">
        <w:t>’</w:t>
      </w:r>
      <w:r w:rsidRPr="001119EC">
        <w:t>élevait à </w:t>
      </w:r>
      <w:r w:rsidRPr="006D7FBA">
        <w:t>225</w:t>
      </w:r>
      <w:r w:rsidRPr="001119EC">
        <w:t>.</w:t>
      </w:r>
    </w:p>
    <w:p w14:paraId="5EDF2F31" w14:textId="115F879D" w:rsidR="007F10AB" w:rsidRPr="00653987" w:rsidRDefault="00AE6F60" w:rsidP="009E022C">
      <w:pPr>
        <w:pStyle w:val="COMPara"/>
        <w:numPr>
          <w:ilvl w:val="0"/>
          <w:numId w:val="13"/>
        </w:numPr>
        <w:ind w:left="567" w:hanging="567"/>
        <w:jc w:val="both"/>
      </w:pPr>
      <w:r>
        <w:t xml:space="preserve">Conformément au paragraphe 34 des Directives opérationnelles, les États parties </w:t>
      </w:r>
      <w:r w:rsidR="00816335">
        <w:t>ayant</w:t>
      </w:r>
      <w:r>
        <w:t xml:space="preserve"> soumis plusieurs dossiers recevables ont indiqué au Secrétariat le dossier qu</w:t>
      </w:r>
      <w:r w:rsidR="0075127A">
        <w:t>’</w:t>
      </w:r>
      <w:r>
        <w:t xml:space="preserve">ils souhaitaient voir </w:t>
      </w:r>
      <w:r w:rsidR="00D83343">
        <w:t xml:space="preserve">traiter </w:t>
      </w:r>
      <w:r>
        <w:t>pour le cycle 2018 ou </w:t>
      </w:r>
      <w:r w:rsidR="007D1CEC">
        <w:t xml:space="preserve">le cycle </w:t>
      </w:r>
      <w:r>
        <w:t>2019. Par conséquent, le nombre de dossiers potentiels pour le cycle 2019 s</w:t>
      </w:r>
      <w:r w:rsidR="0075127A">
        <w:t>’</w:t>
      </w:r>
      <w:r>
        <w:t>él</w:t>
      </w:r>
      <w:r w:rsidR="007D1CEC">
        <w:t>ève</w:t>
      </w:r>
      <w:r>
        <w:t xml:space="preserve"> </w:t>
      </w:r>
      <w:r w:rsidRPr="001119EC">
        <w:t xml:space="preserve">à </w:t>
      </w:r>
      <w:r w:rsidRPr="006D7FBA">
        <w:t>soixante-treize</w:t>
      </w:r>
      <w:r w:rsidRPr="001119EC">
        <w:t xml:space="preserve"> contre </w:t>
      </w:r>
      <w:r w:rsidRPr="006D7FBA">
        <w:t>soixante-quatre</w:t>
      </w:r>
      <w:r>
        <w:t xml:space="preserve"> pour le cycle 2018. La liste des dossiers potentiels pour le </w:t>
      </w:r>
      <w:hyperlink r:id="rId9" w:history="1">
        <w:r>
          <w:rPr>
            <w:rStyle w:val="Hyperlink"/>
          </w:rPr>
          <w:t>cycle 2019</w:t>
        </w:r>
      </w:hyperlink>
      <w:r>
        <w:t xml:space="preserve"> et pour le </w:t>
      </w:r>
      <w:hyperlink r:id="rId10" w:history="1">
        <w:r>
          <w:rPr>
            <w:rStyle w:val="Hyperlink"/>
          </w:rPr>
          <w:t>cycle 2018</w:t>
        </w:r>
      </w:hyperlink>
      <w:r>
        <w:t xml:space="preserve"> est </w:t>
      </w:r>
      <w:r w:rsidR="00FD272D">
        <w:t xml:space="preserve">disponible </w:t>
      </w:r>
      <w:r>
        <w:t xml:space="preserve">sur une page </w:t>
      </w:r>
      <w:r w:rsidR="00307E7F">
        <w:t xml:space="preserve">dédiée à cet effet </w:t>
      </w:r>
      <w:r>
        <w:t>du site Internet de la Convention, avec une indication des dossiers qui doivent ou devaient être traités pour chacun des deux cycles. En outre, l</w:t>
      </w:r>
      <w:r w:rsidR="0075127A">
        <w:t>’</w:t>
      </w:r>
      <w:r>
        <w:t xml:space="preserve">annexe de ce document présente une liste des dossiers potentiels pour le </w:t>
      </w:r>
      <w:hyperlink r:id="rId11" w:history="1">
        <w:r>
          <w:rPr>
            <w:rStyle w:val="Hyperlink"/>
          </w:rPr>
          <w:t>cycle 2019</w:t>
        </w:r>
      </w:hyperlink>
      <w:r>
        <w:t xml:space="preserve">. Le Secrétariat a déterminé les dossiers à traiter en appliquant les décisions du Comité et les niveaux de priorité prévus au paragraphe 34 des Directives opérationnelles ; le résultat est présenté sur les pages </w:t>
      </w:r>
      <w:r w:rsidR="008D2410">
        <w:t xml:space="preserve">du site Internet </w:t>
      </w:r>
      <w:r>
        <w:t>et dans l</w:t>
      </w:r>
      <w:r w:rsidR="0075127A">
        <w:t>’</w:t>
      </w:r>
      <w:r>
        <w:t>annexe.</w:t>
      </w:r>
    </w:p>
    <w:p w14:paraId="332254D3" w14:textId="33DE7518" w:rsidR="007F10AB" w:rsidRPr="002227D0" w:rsidRDefault="000B64CB" w:rsidP="0020106E">
      <w:pPr>
        <w:pStyle w:val="COMPara"/>
        <w:numPr>
          <w:ilvl w:val="0"/>
          <w:numId w:val="13"/>
        </w:numPr>
        <w:ind w:left="567" w:hanging="567"/>
        <w:jc w:val="both"/>
      </w:pPr>
      <w:r>
        <w:t>En application des décisions </w:t>
      </w:r>
      <w:hyperlink r:id="rId12" w:history="1">
        <w:r>
          <w:rPr>
            <w:rStyle w:val="Hyperlink"/>
          </w:rPr>
          <w:t>10.COM 13</w:t>
        </w:r>
      </w:hyperlink>
      <w:r>
        <w:t xml:space="preserve"> et </w:t>
      </w:r>
      <w:hyperlink r:id="rId13" w:history="1">
        <w:r>
          <w:rPr>
            <w:rStyle w:val="Hyperlink"/>
          </w:rPr>
          <w:t>11.COM 12</w:t>
        </w:r>
      </w:hyperlink>
      <w:r>
        <w:t xml:space="preserve"> du Comité selon lesquelles au moins un dossier par État soumissionnaire doit être </w:t>
      </w:r>
      <w:r w:rsidR="00D83343">
        <w:t xml:space="preserve">traité </w:t>
      </w:r>
      <w:r>
        <w:t>au cours des deux cycles concernés, l</w:t>
      </w:r>
      <w:r w:rsidR="008D2410">
        <w:t>es</w:t>
      </w:r>
      <w:r>
        <w:t xml:space="preserve"> dossiers </w:t>
      </w:r>
      <w:r w:rsidR="008D2410">
        <w:t>avec un</w:t>
      </w:r>
      <w:r>
        <w:t xml:space="preserve"> niveau de priorité (0) provien</w:t>
      </w:r>
      <w:r w:rsidR="008D2410">
        <w:t>nen</w:t>
      </w:r>
      <w:r>
        <w:t>t d</w:t>
      </w:r>
      <w:r w:rsidR="0075127A">
        <w:t>’</w:t>
      </w:r>
      <w:r>
        <w:t>États soumissionnaires qui n</w:t>
      </w:r>
      <w:r w:rsidR="0075127A">
        <w:t>’</w:t>
      </w:r>
      <w:r>
        <w:t xml:space="preserve">ont vu aucun de leurs dossiers nationaux </w:t>
      </w:r>
      <w:r w:rsidR="00D83343">
        <w:t xml:space="preserve">traités </w:t>
      </w:r>
      <w:r>
        <w:t>au cours du cycle précédent. Cette catégorie inclut les dossiers d</w:t>
      </w:r>
      <w:r w:rsidR="0075127A">
        <w:t>’</w:t>
      </w:r>
      <w:r>
        <w:t>États ayant soumis un dossier lors d</w:t>
      </w:r>
      <w:r w:rsidR="0075127A">
        <w:t>’</w:t>
      </w:r>
      <w:r>
        <w:t>un précédent cycle qui n</w:t>
      </w:r>
      <w:r w:rsidR="0075127A">
        <w:t>’</w:t>
      </w:r>
      <w:r>
        <w:t xml:space="preserve">avait pas pu être </w:t>
      </w:r>
      <w:r w:rsidR="00D83343">
        <w:t>traité</w:t>
      </w:r>
      <w:r>
        <w:t>, ainsi que les dossiers d</w:t>
      </w:r>
      <w:r w:rsidR="0075127A">
        <w:t>’</w:t>
      </w:r>
      <w:r>
        <w:t>États qui s</w:t>
      </w:r>
      <w:r w:rsidR="0075127A">
        <w:t>’</w:t>
      </w:r>
      <w:r>
        <w:t>étaient abstenus de soumettre des dossiers lors du précédent cycle et n</w:t>
      </w:r>
      <w:r w:rsidR="0075127A">
        <w:t>’</w:t>
      </w:r>
      <w:r>
        <w:t>en ont soumis qu</w:t>
      </w:r>
      <w:r w:rsidR="0075127A">
        <w:t>’</w:t>
      </w:r>
      <w:r>
        <w:t>un lors du cycle en question.</w:t>
      </w:r>
    </w:p>
    <w:p w14:paraId="3E2EDE06" w14:textId="1FF295B3" w:rsidR="007F10AB" w:rsidRDefault="007F10AB" w:rsidP="005B7FB6">
      <w:pPr>
        <w:pStyle w:val="COMPara"/>
        <w:numPr>
          <w:ilvl w:val="0"/>
          <w:numId w:val="13"/>
        </w:numPr>
        <w:ind w:left="567" w:hanging="567"/>
        <w:jc w:val="both"/>
      </w:pPr>
      <w:r>
        <w:lastRenderedPageBreak/>
        <w:t>Les dossiers sont donc classés selon les niveaux de priorité énoncés au paragraphe 34 des Directives opérationnelles. Le niveau de priorité (i) correspond aux dossiers provenant d</w:t>
      </w:r>
      <w:r w:rsidR="0075127A">
        <w:t>’</w:t>
      </w:r>
      <w:r>
        <w:t>États soumissionnaires n</w:t>
      </w:r>
      <w:r w:rsidR="0075127A">
        <w:t>’</w:t>
      </w:r>
      <w:r>
        <w:t>ayant pas d</w:t>
      </w:r>
      <w:r w:rsidR="0075127A">
        <w:t>’</w:t>
      </w:r>
      <w:r>
        <w:t>éléments inscrits sur l</w:t>
      </w:r>
      <w:r w:rsidR="0075127A">
        <w:t>’</w:t>
      </w:r>
      <w:r>
        <w:t>une des listes, de meilleures pratiques de sauvegarde sélectionnées ou de demandes d</w:t>
      </w:r>
      <w:r w:rsidR="0075127A">
        <w:t>’</w:t>
      </w:r>
      <w:r>
        <w:t xml:space="preserve">assistance internationale </w:t>
      </w:r>
      <w:r w:rsidR="00301916" w:rsidRPr="00301916">
        <w:t xml:space="preserve">supérieures à </w:t>
      </w:r>
      <w:r>
        <w:t>100 000 dollars des États-Unis accordées, et aux candidatures à la Liste du patrimoine culturel immatériel nécessitant une sauvegarde urgente (</w:t>
      </w:r>
      <w:r w:rsidR="001342F9">
        <w:t>dont</w:t>
      </w:r>
      <w:r>
        <w:t xml:space="preserve"> un dossier </w:t>
      </w:r>
      <w:r w:rsidR="001342F9">
        <w:t>multinational</w:t>
      </w:r>
      <w:r>
        <w:t>). La priorité (ii) correspond aux dossiers multinationaux. La priorité (iii) inclut les dossiers restants, dans l</w:t>
      </w:r>
      <w:r w:rsidR="0075127A">
        <w:t>’</w:t>
      </w:r>
      <w:r>
        <w:t>ordre croissant du nombre d</w:t>
      </w:r>
      <w:r w:rsidR="0075127A">
        <w:t>’</w:t>
      </w:r>
      <w:r>
        <w:t>éléments précédemment inscrits, de meilleures pratiques de sauvegarde sélectionnées ou de demandes d</w:t>
      </w:r>
      <w:r w:rsidR="0075127A">
        <w:t>’</w:t>
      </w:r>
      <w:r>
        <w:t>assistance internationale accordées, en comparaison avec les autres États soumissionnaires.</w:t>
      </w:r>
    </w:p>
    <w:p w14:paraId="5D30064A" w14:textId="1A16A195" w:rsidR="00101288" w:rsidRDefault="006E4083" w:rsidP="00D56FFA">
      <w:pPr>
        <w:pStyle w:val="COMPara"/>
        <w:numPr>
          <w:ilvl w:val="0"/>
          <w:numId w:val="13"/>
        </w:numPr>
        <w:ind w:left="567" w:hanging="567"/>
        <w:jc w:val="both"/>
      </w:pPr>
      <w:r>
        <w:t xml:space="preserve">Par conséquent, cinquante et un dossiers sont actuellement </w:t>
      </w:r>
      <w:r w:rsidR="001342F9">
        <w:t xml:space="preserve">traités </w:t>
      </w:r>
      <w:r>
        <w:t xml:space="preserve">pour le cycle 2019 (quarante-six dossiers nationaux et cinq dossiers multinationaux) et cinquante dossiers ont été </w:t>
      </w:r>
      <w:r w:rsidR="00D83343">
        <w:t xml:space="preserve">traités </w:t>
      </w:r>
      <w:r>
        <w:t xml:space="preserve">pour le cycle 2018 (quarante-quatre dossiers nationaux et six dossiers multinationaux). </w:t>
      </w:r>
      <w:r w:rsidR="001342F9">
        <w:t>Pour le</w:t>
      </w:r>
      <w:r>
        <w:t xml:space="preserve"> cycle 2019, </w:t>
      </w:r>
      <w:r w:rsidRPr="006D7FBA">
        <w:t>vingt-deux États</w:t>
      </w:r>
      <w:r w:rsidRPr="001119EC">
        <w:t xml:space="preserve"> </w:t>
      </w:r>
      <w:r w:rsidR="00270CD2" w:rsidRPr="001119EC">
        <w:t>ayant</w:t>
      </w:r>
      <w:r w:rsidR="00270CD2">
        <w:t xml:space="preserve"> </w:t>
      </w:r>
      <w:r>
        <w:t>deux éléments inscrits ou plus n</w:t>
      </w:r>
      <w:r w:rsidR="0075127A">
        <w:t>’</w:t>
      </w:r>
      <w:r>
        <w:t xml:space="preserve">ont pas pu voir leurs dossiers </w:t>
      </w:r>
      <w:r w:rsidR="001342F9">
        <w:t>traités</w:t>
      </w:r>
      <w:r>
        <w:t>. À titre de comparaison,</w:t>
      </w:r>
      <w:r w:rsidR="00270CD2">
        <w:t xml:space="preserve"> quatorze</w:t>
      </w:r>
      <w:r>
        <w:t xml:space="preserve"> États </w:t>
      </w:r>
      <w:r w:rsidR="00270CD2">
        <w:t xml:space="preserve">ayant quatre éléments ou plus déjà inscrits n’ont pas pu voir </w:t>
      </w:r>
      <w:proofErr w:type="gramStart"/>
      <w:r w:rsidR="00270CD2">
        <w:t>leurs</w:t>
      </w:r>
      <w:r>
        <w:t xml:space="preserve"> dossier</w:t>
      </w:r>
      <w:r w:rsidR="00270CD2">
        <w:t>s</w:t>
      </w:r>
      <w:r>
        <w:t xml:space="preserve"> </w:t>
      </w:r>
      <w:r w:rsidR="001342F9">
        <w:t>traité</w:t>
      </w:r>
      <w:proofErr w:type="gramEnd"/>
      <w:r w:rsidR="001342F9">
        <w:t xml:space="preserve"> </w:t>
      </w:r>
      <w:r w:rsidR="00270CD2">
        <w:t xml:space="preserve">au cours </w:t>
      </w:r>
      <w:r>
        <w:t>du cycle 2018.</w:t>
      </w:r>
    </w:p>
    <w:p w14:paraId="439280E6" w14:textId="5C6193AC" w:rsidR="00101288" w:rsidRDefault="004719A5" w:rsidP="00101288">
      <w:pPr>
        <w:pStyle w:val="COMPara"/>
        <w:numPr>
          <w:ilvl w:val="0"/>
          <w:numId w:val="13"/>
        </w:numPr>
        <w:ind w:left="567" w:hanging="567"/>
        <w:jc w:val="both"/>
      </w:pPr>
      <w:r>
        <w:t>Entre parenthèses, une tendance récente laisse entrevoir un nombre accru de dossiers dans la catégorie (0), à savoir des dossiers provenant d</w:t>
      </w:r>
      <w:r w:rsidR="0075127A">
        <w:t>’</w:t>
      </w:r>
      <w:r>
        <w:t>États soumissionnaires qui n</w:t>
      </w:r>
      <w:r w:rsidR="0075127A">
        <w:t>’</w:t>
      </w:r>
      <w:r>
        <w:t xml:space="preserve">ont vu aucun de leurs dossiers nationaux </w:t>
      </w:r>
      <w:r w:rsidR="00D83343">
        <w:t xml:space="preserve">traités </w:t>
      </w:r>
      <w:r>
        <w:t xml:space="preserve">lors du précédent cycle. Cela concerne trente-deux dossiers pour le cycle 2019, soit deux tiers des dossiers à </w:t>
      </w:r>
      <w:r w:rsidR="00D83343">
        <w:t>traiter</w:t>
      </w:r>
      <w:r>
        <w:t>. À titre de comparaison, vingt-cinq dossiers étaient dans ce cas lors du cycle 2018 et vingt-deux lors du cycle 2017. Si cette tendance se poursuit, les États parties risquent d</w:t>
      </w:r>
      <w:r w:rsidR="0075127A">
        <w:t>’</w:t>
      </w:r>
      <w:r>
        <w:t xml:space="preserve">être confrontés à une situation dans laquelle les dossiers correspondant à la catégorie (ii) – dossiers multinationaux – sont susceptibles de ne plus être </w:t>
      </w:r>
      <w:r w:rsidR="00D83343">
        <w:t>traités</w:t>
      </w:r>
      <w:r>
        <w:t>. Cela signifie qu</w:t>
      </w:r>
      <w:r w:rsidR="0075127A">
        <w:t>’</w:t>
      </w:r>
      <w:r>
        <w:t>il pourrait être nécessaire de réviser le système actuel des priorités dans un avenir proche.</w:t>
      </w:r>
    </w:p>
    <w:p w14:paraId="3FDBB40F" w14:textId="266B042E" w:rsidR="00175C2B" w:rsidRPr="00E62D1C" w:rsidRDefault="00175C2B" w:rsidP="00E62D1C">
      <w:pPr>
        <w:pStyle w:val="COMPara"/>
        <w:numPr>
          <w:ilvl w:val="0"/>
          <w:numId w:val="0"/>
        </w:numPr>
        <w:spacing w:before="240"/>
        <w:rPr>
          <w:b/>
        </w:rPr>
      </w:pPr>
      <w:r>
        <w:rPr>
          <w:b/>
        </w:rPr>
        <w:t>Nombre de dossiers pour les cycles 2020 et 2021</w:t>
      </w:r>
    </w:p>
    <w:p w14:paraId="0838D9AC" w14:textId="29B0715E" w:rsidR="007E3B16" w:rsidRDefault="008A729A" w:rsidP="007E3B16">
      <w:pPr>
        <w:pStyle w:val="COMPara"/>
        <w:numPr>
          <w:ilvl w:val="0"/>
          <w:numId w:val="13"/>
        </w:numPr>
        <w:ind w:left="567" w:hanging="567"/>
        <w:jc w:val="both"/>
      </w:pPr>
      <w:r>
        <w:t>Il est proposé que le Comité fixe de nouveau à cinquante le nombre total de dossiers pour les cycles 2020 et 2021, en continuant à appliquer le principe d</w:t>
      </w:r>
      <w:r w:rsidR="0075127A">
        <w:t>’</w:t>
      </w:r>
      <w:r>
        <w:t>au moins un dossier par État soumissionnaire traité au cours de chaque période de deux ans. Tout en restant conforme à la pratique des dernières années, cette décision pourrait de nouveau s</w:t>
      </w:r>
      <w:r w:rsidR="0075127A">
        <w:t>’</w:t>
      </w:r>
      <w:r>
        <w:t>accompagner d</w:t>
      </w:r>
      <w:r w:rsidR="0075127A">
        <w:t>’</w:t>
      </w:r>
      <w:r>
        <w:t>une demande adressée au Secrétariat pour qu</w:t>
      </w:r>
      <w:r w:rsidR="0075127A">
        <w:t>’</w:t>
      </w:r>
      <w:r>
        <w:t>il fasse preuve de souplesse dans l</w:t>
      </w:r>
      <w:r w:rsidR="0075127A">
        <w:t>’</w:t>
      </w:r>
      <w:r>
        <w:t>application de ces limites afin d</w:t>
      </w:r>
      <w:r w:rsidR="0075127A">
        <w:t>’</w:t>
      </w:r>
      <w:r>
        <w:t>offrir une plus grande équité entre États soumissionnaires bénéficiant du même degré de priorité.</w:t>
      </w:r>
    </w:p>
    <w:p w14:paraId="4E7FE52C" w14:textId="5272AABF" w:rsidR="00244470" w:rsidRPr="00E62D1C" w:rsidRDefault="00244470" w:rsidP="00175579">
      <w:pPr>
        <w:pStyle w:val="COMPara"/>
        <w:numPr>
          <w:ilvl w:val="0"/>
          <w:numId w:val="13"/>
        </w:numPr>
        <w:ind w:left="567" w:hanging="567"/>
        <w:jc w:val="both"/>
      </w:pPr>
      <w:r>
        <w:t>Cette proposition repose sur l</w:t>
      </w:r>
      <w:r w:rsidR="0075127A">
        <w:t>’</w:t>
      </w:r>
      <w:r>
        <w:t>évaluation suivante de la charge de travail du Comité, du Secrétariat et de l</w:t>
      </w:r>
      <w:r w:rsidR="0075127A">
        <w:t>’</w:t>
      </w:r>
      <w:r>
        <w:t>Organe d</w:t>
      </w:r>
      <w:r w:rsidR="0075127A">
        <w:t>’</w:t>
      </w:r>
      <w:r>
        <w:t>évaluation :</w:t>
      </w:r>
    </w:p>
    <w:p w14:paraId="3B56E7AD" w14:textId="1281630F" w:rsidR="0085771B" w:rsidRDefault="00D70C5E" w:rsidP="009D7D02">
      <w:pPr>
        <w:pStyle w:val="COMPara"/>
        <w:numPr>
          <w:ilvl w:val="0"/>
          <w:numId w:val="0"/>
        </w:numPr>
        <w:ind w:left="567"/>
        <w:jc w:val="both"/>
      </w:pPr>
      <w:r>
        <w:rPr>
          <w:u w:val="single"/>
        </w:rPr>
        <w:t>Comité</w:t>
      </w:r>
      <w:r w:rsidRPr="006D7FBA">
        <w:t> </w:t>
      </w:r>
      <w:r>
        <w:t>: étant donné le volume et la complexité accrus des questions qui requièrent l</w:t>
      </w:r>
      <w:r w:rsidR="0075127A">
        <w:t>’</w:t>
      </w:r>
      <w:r>
        <w:t>attention du Comité, sa réunion annuelle est passée de cinq à six jours depuis sa douzième session. Cette charge de travail accrue est liée à la portée élargie de la mise en œuvre de la Convention. Le Comité est conscient de la nécessité d</w:t>
      </w:r>
      <w:r w:rsidR="0075127A">
        <w:t>’</w:t>
      </w:r>
      <w:r>
        <w:t>assurer la pertinence de la Convention au regard des discussions actuelles sur le développement durable ; les sujets récemment abordés incluent la sauvegarde du patrimoine culturel immatériel dans les situations d</w:t>
      </w:r>
      <w:r w:rsidR="0075127A">
        <w:t>’</w:t>
      </w:r>
      <w:r>
        <w:t>urgence et en milieu urbain. En outre, quinze ans après l</w:t>
      </w:r>
      <w:r w:rsidR="0075127A">
        <w:t>’</w:t>
      </w:r>
      <w:r>
        <w:t>adoption de la Convention, il est nécessaire de réviser les mécanismes qui lui sont associés ; au cours de la seule session actuelle, le Comité est invité à examiner la réforme du mécanisme de soumission des rapports périodiques, le suivi des éléments inscrits sur les listes de la Convention, les soumissions multiples de demandes d</w:t>
      </w:r>
      <w:r w:rsidR="0075127A">
        <w:t>’</w:t>
      </w:r>
      <w:r>
        <w:t>assistance internationale et une réflexion sur la participation d</w:t>
      </w:r>
      <w:r w:rsidR="0075127A">
        <w:t>’</w:t>
      </w:r>
      <w:r>
        <w:t>ONG à la mise en œuvre de la Convention. L</w:t>
      </w:r>
      <w:r w:rsidR="0075127A">
        <w:t>’</w:t>
      </w:r>
      <w:r>
        <w:t>augmentation du nombre de dossiers à examiner ne ferait qu</w:t>
      </w:r>
      <w:r w:rsidR="0075127A">
        <w:t>’</w:t>
      </w:r>
      <w:r>
        <w:t>accroître la pression qui pèse sur l</w:t>
      </w:r>
      <w:r w:rsidR="0075127A">
        <w:t>’</w:t>
      </w:r>
      <w:r>
        <w:t>ordre du jour déjà chargé du Comité.</w:t>
      </w:r>
    </w:p>
    <w:p w14:paraId="7EEFD6C7" w14:textId="79841564" w:rsidR="00C812B9" w:rsidRPr="00E62D1C" w:rsidRDefault="00725D09" w:rsidP="0013621B">
      <w:pPr>
        <w:pStyle w:val="COMPara"/>
        <w:numPr>
          <w:ilvl w:val="0"/>
          <w:numId w:val="0"/>
        </w:numPr>
        <w:ind w:left="567"/>
        <w:jc w:val="both"/>
      </w:pPr>
      <w:r>
        <w:rPr>
          <w:u w:val="single"/>
        </w:rPr>
        <w:t>Secrétariat</w:t>
      </w:r>
      <w:r w:rsidRPr="006D7FBA">
        <w:t> </w:t>
      </w:r>
      <w:r>
        <w:t>: la charge de travail du Secrétariat a considérablement augmenté, parallèlement au nombre croissant d</w:t>
      </w:r>
      <w:r w:rsidR="0075127A">
        <w:t>’</w:t>
      </w:r>
      <w:r>
        <w:t>États parties (30 % depuis 2010). Au-delà de la nécessité de soutenir la charge de travail croissante du Comité, telle qu</w:t>
      </w:r>
      <w:r w:rsidR="0075127A">
        <w:t>’</w:t>
      </w:r>
      <w:r>
        <w:t xml:space="preserve">elle est décrite ci-dessus, il a également été demandé au Secrétariat de supporter la charge de travail additionnelle découlant du nombre </w:t>
      </w:r>
      <w:r>
        <w:lastRenderedPageBreak/>
        <w:t>accru de demandes de soutien en faveur des efforts nationaux déployés pour sauvegarder le patrimoine culturel immatériel dans le cadre d</w:t>
      </w:r>
      <w:r w:rsidR="0075127A">
        <w:t>’</w:t>
      </w:r>
      <w:r>
        <w:t>obligations statutaires et de projets de renforcement des capacités opérationnelles. Par ailleurs, au cours des dernières années, le Secrétariat a déployé des efforts supplémentaires en augmentant le nombre de demandes d</w:t>
      </w:r>
      <w:r w:rsidR="0075127A">
        <w:t>’</w:t>
      </w:r>
      <w:r>
        <w:t>assistance internationale jusqu</w:t>
      </w:r>
      <w:r w:rsidR="0075127A">
        <w:t>’</w:t>
      </w:r>
      <w:r>
        <w:t xml:space="preserve">à 100 000 dollars des États-Unis présentées au Bureau. </w:t>
      </w:r>
      <w:r w:rsidR="00CE22E0">
        <w:t xml:space="preserve">La </w:t>
      </w:r>
      <w:r>
        <w:t xml:space="preserve">nouvelle équipe spéciale chargée de </w:t>
      </w:r>
      <w:r w:rsidR="0038140A">
        <w:t>la mise en œuvre du</w:t>
      </w:r>
      <w:r>
        <w:t xml:space="preserve"> mécanisme d</w:t>
      </w:r>
      <w:r w:rsidR="0075127A">
        <w:t>’</w:t>
      </w:r>
      <w:r>
        <w:t>assistance internationale prendra en charge une partie de ce travail additionnel. Néanmoins, étant donné que ses premiers efforts se concentreront principalement sur l</w:t>
      </w:r>
      <w:r w:rsidR="0075127A">
        <w:t>’</w:t>
      </w:r>
      <w:r>
        <w:t>établissement de systèmes efficaces de mise en œuvre et de suivi pour chaque projet après que le Bureau accorde le financement, le traitement de ces demandes par le Bureau continuera à générer une importante charge de travail dans les années à venir. Le plafond annuel de cinquante dossiers requiert déjà des ressources humaines importantes de la part du Secrétariat, qui a été sollicité pour servir les organes directeurs et les États parties à travers les différents mécanismes de la Convention.</w:t>
      </w:r>
    </w:p>
    <w:p w14:paraId="28F8D40B" w14:textId="6D158DAF" w:rsidR="00272F30" w:rsidRDefault="006B1690" w:rsidP="008B4FBB">
      <w:pPr>
        <w:pStyle w:val="COMPara"/>
        <w:numPr>
          <w:ilvl w:val="0"/>
          <w:numId w:val="0"/>
        </w:numPr>
        <w:ind w:left="567"/>
        <w:jc w:val="both"/>
      </w:pPr>
      <w:r>
        <w:rPr>
          <w:u w:val="single"/>
        </w:rPr>
        <w:t>Organe d</w:t>
      </w:r>
      <w:r w:rsidR="0075127A">
        <w:rPr>
          <w:u w:val="single"/>
        </w:rPr>
        <w:t>’</w:t>
      </w:r>
      <w:r>
        <w:rPr>
          <w:u w:val="single"/>
        </w:rPr>
        <w:t>évaluation</w:t>
      </w:r>
      <w:r>
        <w:t> : l</w:t>
      </w:r>
      <w:r w:rsidR="0075127A">
        <w:t>’</w:t>
      </w:r>
      <w:r>
        <w:t>Organe d</w:t>
      </w:r>
      <w:r w:rsidR="0075127A">
        <w:t>’</w:t>
      </w:r>
      <w:r>
        <w:t>évaluation est composé de six experts représentants d</w:t>
      </w:r>
      <w:r w:rsidR="0075127A">
        <w:t>’</w:t>
      </w:r>
      <w:r>
        <w:t>États parties et six organisations non gouvernementales, en tenant compte d</w:t>
      </w:r>
      <w:r w:rsidR="0075127A">
        <w:t>’</w:t>
      </w:r>
      <w:r>
        <w:t>une répartition géographique équitable. Conformément à la procédure actuelle, chacun des membres évalue individuellement chaque dossier avant que l</w:t>
      </w:r>
      <w:r w:rsidR="0075127A">
        <w:t>’</w:t>
      </w:r>
      <w:r>
        <w:t xml:space="preserve">Organe ne se réunisse pour engager une discussion collégiale et parvenir à un consensus concernant chaque critère, pour chaque dossier (voir le paragraphe 13 du </w:t>
      </w:r>
      <w:hyperlink r:id="rId14" w:history="1">
        <w:r>
          <w:rPr>
            <w:rStyle w:val="Hyperlink"/>
          </w:rPr>
          <w:t>document ITH/16/11.COM/12</w:t>
        </w:r>
      </w:hyperlink>
      <w:r>
        <w:t>). L</w:t>
      </w:r>
      <w:r w:rsidR="0075127A">
        <w:t>’</w:t>
      </w:r>
      <w:r>
        <w:t>expérience montre qu</w:t>
      </w:r>
      <w:r w:rsidR="0075127A">
        <w:t>’</w:t>
      </w:r>
      <w:r>
        <w:t>avec cette approche collective et équilibrée – même si davantage de ressources financières et humaines étaient dédiées au processus d</w:t>
      </w:r>
      <w:r w:rsidR="0075127A">
        <w:t>’</w:t>
      </w:r>
      <w:r>
        <w:t>évaluation –, le temps disponible pour le processus d</w:t>
      </w:r>
      <w:r w:rsidR="0075127A">
        <w:t>’</w:t>
      </w:r>
      <w:r>
        <w:t>inscription actuel au cours d</w:t>
      </w:r>
      <w:r w:rsidR="0075127A">
        <w:t>’</w:t>
      </w:r>
      <w:r>
        <w:t>un cycle permet tout juste à l</w:t>
      </w:r>
      <w:r w:rsidR="0075127A">
        <w:t>’</w:t>
      </w:r>
      <w:r>
        <w:t>Organe d</w:t>
      </w:r>
      <w:r w:rsidR="0075127A">
        <w:t>’</w:t>
      </w:r>
      <w:r>
        <w:t>évaluation d</w:t>
      </w:r>
      <w:r w:rsidR="00D83343">
        <w:t>e traiter</w:t>
      </w:r>
      <w:r>
        <w:t xml:space="preserve"> une cinquantaine de dossiers.</w:t>
      </w:r>
    </w:p>
    <w:p w14:paraId="2DF68B0C" w14:textId="314A7558" w:rsidR="00D817D3" w:rsidRDefault="00B22BEC" w:rsidP="0013621B">
      <w:pPr>
        <w:pStyle w:val="COMPara"/>
        <w:numPr>
          <w:ilvl w:val="0"/>
          <w:numId w:val="13"/>
        </w:numPr>
        <w:ind w:left="567" w:hanging="567"/>
        <w:jc w:val="both"/>
      </w:pPr>
      <w:r>
        <w:t>Toute réflexion susceptible d</w:t>
      </w:r>
      <w:r w:rsidR="0075127A">
        <w:t>’</w:t>
      </w:r>
      <w:r>
        <w:t xml:space="preserve">entraîner une modification du nombre total de dossiers à </w:t>
      </w:r>
      <w:r w:rsidR="00D83343">
        <w:t xml:space="preserve">traiter </w:t>
      </w:r>
      <w:r>
        <w:t>doit être menée prudemment, en conjonction avec les autres réflexions engagées en parallèle par le Comité. Par exemple, lors de sa précédente session, le Comité a décidé de « convoquer un groupe de travail intergouvernemental à composition non limitée [...] afin de réfléchir, entre autres, aux procédures pour le retrait d</w:t>
      </w:r>
      <w:r w:rsidR="0075127A">
        <w:t>’</w:t>
      </w:r>
      <w:r>
        <w:t>un élément d</w:t>
      </w:r>
      <w:r w:rsidR="0075127A">
        <w:t>’</w:t>
      </w:r>
      <w:r>
        <w:t>une liste et le transfert d</w:t>
      </w:r>
      <w:r w:rsidR="0075127A">
        <w:t>’</w:t>
      </w:r>
      <w:r>
        <w:t>une liste à l</w:t>
      </w:r>
      <w:r w:rsidR="0075127A">
        <w:t>’</w:t>
      </w:r>
      <w:r>
        <w:t>autre, à la nature et aux objectifs des listes et du registre établis par la Convention et à la pertinence des différents critères pour chacun de ces mécanismes » (</w:t>
      </w:r>
      <w:hyperlink r:id="rId15" w:history="1">
        <w:r>
          <w:rPr>
            <w:rStyle w:val="Hyperlink"/>
          </w:rPr>
          <w:t>décision</w:t>
        </w:r>
        <w:r w:rsidR="00301916">
          <w:rPr>
            <w:rStyle w:val="Hyperlink"/>
          </w:rPr>
          <w:t> </w:t>
        </w:r>
        <w:r>
          <w:rPr>
            <w:rStyle w:val="Hyperlink"/>
          </w:rPr>
          <w:t>12.COM</w:t>
        </w:r>
        <w:r w:rsidR="00301916">
          <w:rPr>
            <w:rStyle w:val="Hyperlink"/>
          </w:rPr>
          <w:t> </w:t>
        </w:r>
        <w:r>
          <w:rPr>
            <w:rStyle w:val="Hyperlink"/>
          </w:rPr>
          <w:t>14</w:t>
        </w:r>
      </w:hyperlink>
      <w:r>
        <w:t>). Bien qu</w:t>
      </w:r>
      <w:r w:rsidR="0075127A">
        <w:t>’</w:t>
      </w:r>
      <w:r>
        <w:t>aucune contribution volontaire supplémentaire au Fonds du patrimoine culturel immatériel n</w:t>
      </w:r>
      <w:r w:rsidR="0075127A">
        <w:t>’</w:t>
      </w:r>
      <w:r>
        <w:t>ait été reçue pour organiser cette réunion, le fruit de cette réflexion aura probablement un impact sur l</w:t>
      </w:r>
      <w:r w:rsidR="0075127A">
        <w:t>’</w:t>
      </w:r>
      <w:r>
        <w:t>avenir du processus d</w:t>
      </w:r>
      <w:r w:rsidR="0075127A">
        <w:t>’</w:t>
      </w:r>
      <w:r>
        <w:t>inscription. De même, le suivi des éléments inscrits sur les listes de la Convention qui seront examinés au cours de la session actuelle peut avoir un impact sur le processus en augmentant la charge de travail du Comité, du Secrétariat et, potentiellement, de l</w:t>
      </w:r>
      <w:r w:rsidR="0075127A">
        <w:t>’</w:t>
      </w:r>
      <w:r>
        <w:t>Organe d</w:t>
      </w:r>
      <w:r w:rsidR="0075127A">
        <w:t>’</w:t>
      </w:r>
      <w:r>
        <w:t>évaluation. Concernant de façon plus directe le processus d</w:t>
      </w:r>
      <w:r w:rsidR="0075127A">
        <w:t>’</w:t>
      </w:r>
      <w:r>
        <w:t>inscription lui-même, le Comité examine depuis l</w:t>
      </w:r>
      <w:r w:rsidR="0075127A">
        <w:t>’</w:t>
      </w:r>
      <w:r>
        <w:t>an dernier des moyens qui permettraient de faciliter l</w:t>
      </w:r>
      <w:r w:rsidR="0075127A">
        <w:t>’</w:t>
      </w:r>
      <w:r>
        <w:t>établissement d</w:t>
      </w:r>
      <w:r w:rsidR="0075127A">
        <w:t>’</w:t>
      </w:r>
      <w:r>
        <w:t>un dialogue entre l</w:t>
      </w:r>
      <w:r w:rsidR="0075127A">
        <w:t>’</w:t>
      </w:r>
      <w:r>
        <w:t>Organe d</w:t>
      </w:r>
      <w:r w:rsidR="0075127A">
        <w:t>’</w:t>
      </w:r>
      <w:r>
        <w:t>évaluation et les États soumissionnaires (</w:t>
      </w:r>
      <w:hyperlink r:id="rId16" w:history="1">
        <w:r>
          <w:rPr>
            <w:rStyle w:val="Hyperlink"/>
          </w:rPr>
          <w:t>décision 12.COM 13</w:t>
        </w:r>
      </w:hyperlink>
      <w:r>
        <w:t>).</w:t>
      </w:r>
    </w:p>
    <w:p w14:paraId="40AE6EAA" w14:textId="12D8F331" w:rsidR="00D56FFA" w:rsidRPr="00D817D3" w:rsidRDefault="00D56FFA" w:rsidP="00D817D3">
      <w:pPr>
        <w:pStyle w:val="COMPara"/>
        <w:numPr>
          <w:ilvl w:val="0"/>
          <w:numId w:val="13"/>
        </w:numPr>
        <w:ind w:left="567" w:hanging="567"/>
        <w:jc w:val="both"/>
      </w:pPr>
      <w:r>
        <w:t>Le Comité souhaitera peut-être adopter l</w:t>
      </w:r>
      <w:r w:rsidR="00DB3AE1">
        <w:t>a</w:t>
      </w:r>
      <w:r>
        <w:t xml:space="preserve"> décision suivante :</w:t>
      </w:r>
    </w:p>
    <w:p w14:paraId="7ED846AC" w14:textId="77777777" w:rsidR="00D95C4C" w:rsidRPr="00FD624F" w:rsidRDefault="004A34A0" w:rsidP="00D56FFA">
      <w:pPr>
        <w:pStyle w:val="COMTitleDecision"/>
        <w:rPr>
          <w:rFonts w:eastAsia="SimSun"/>
        </w:rPr>
      </w:pPr>
      <w:r>
        <w:t>PROJET DE DÉCISION 13.COM 15</w:t>
      </w:r>
    </w:p>
    <w:p w14:paraId="4A1C294C" w14:textId="77777777" w:rsidR="00D95C4C" w:rsidRPr="00721707" w:rsidRDefault="00285BB4" w:rsidP="00285BB4">
      <w:pPr>
        <w:pStyle w:val="COMPreambulaDecisions"/>
        <w:rPr>
          <w:rFonts w:eastAsia="SimSun"/>
        </w:rPr>
      </w:pPr>
      <w:r>
        <w:t>Le Comité,</w:t>
      </w:r>
    </w:p>
    <w:p w14:paraId="35692958" w14:textId="10847A54" w:rsidR="006E4083" w:rsidRPr="005B7FB6" w:rsidRDefault="00301916" w:rsidP="005B7FB6">
      <w:pPr>
        <w:numPr>
          <w:ilvl w:val="0"/>
          <w:numId w:val="10"/>
        </w:numPr>
        <w:autoSpaceDE w:val="0"/>
        <w:autoSpaceDN w:val="0"/>
        <w:adjustRightInd w:val="0"/>
        <w:spacing w:after="120"/>
        <w:ind w:left="1134" w:hanging="567"/>
        <w:jc w:val="both"/>
        <w:rPr>
          <w:rFonts w:ascii="Arial" w:hAnsi="Arial" w:cs="Arial"/>
          <w:sz w:val="22"/>
          <w:szCs w:val="22"/>
        </w:rPr>
      </w:pPr>
      <w:r w:rsidRPr="00301916">
        <w:rPr>
          <w:rFonts w:ascii="Arial" w:hAnsi="Arial"/>
          <w:sz w:val="22"/>
          <w:szCs w:val="22"/>
          <w:u w:val="single"/>
        </w:rPr>
        <w:t>Ayant examiné</w:t>
      </w:r>
      <w:r w:rsidRPr="005B7FB6">
        <w:rPr>
          <w:rFonts w:ascii="Arial" w:hAnsi="Arial"/>
          <w:sz w:val="22"/>
          <w:szCs w:val="22"/>
        </w:rPr>
        <w:t xml:space="preserve"> </w:t>
      </w:r>
      <w:r w:rsidR="006E4083" w:rsidRPr="005B7FB6">
        <w:rPr>
          <w:rFonts w:ascii="Arial" w:hAnsi="Arial"/>
          <w:sz w:val="22"/>
          <w:szCs w:val="22"/>
        </w:rPr>
        <w:t xml:space="preserve">le </w:t>
      </w:r>
      <w:r w:rsidR="009E38AB" w:rsidRPr="005B7FB6">
        <w:rPr>
          <w:rFonts w:ascii="Arial" w:hAnsi="Arial"/>
          <w:sz w:val="22"/>
          <w:szCs w:val="22"/>
        </w:rPr>
        <w:t>d</w:t>
      </w:r>
      <w:r w:rsidR="006E4083" w:rsidRPr="005B7FB6">
        <w:rPr>
          <w:rFonts w:ascii="Arial" w:hAnsi="Arial"/>
          <w:sz w:val="22"/>
          <w:szCs w:val="22"/>
        </w:rPr>
        <w:t>ocument ITH/18/13.COM/15,</w:t>
      </w:r>
    </w:p>
    <w:p w14:paraId="1E63DB8E" w14:textId="77777777" w:rsidR="006E4083" w:rsidRPr="00721707" w:rsidRDefault="006E4083" w:rsidP="006E4083">
      <w:pPr>
        <w:numPr>
          <w:ilvl w:val="0"/>
          <w:numId w:val="10"/>
        </w:numPr>
        <w:autoSpaceDE w:val="0"/>
        <w:autoSpaceDN w:val="0"/>
        <w:adjustRightInd w:val="0"/>
        <w:spacing w:after="120"/>
        <w:ind w:left="1134" w:hanging="567"/>
        <w:jc w:val="both"/>
        <w:rPr>
          <w:rFonts w:ascii="Arial" w:eastAsia="SimSun" w:hAnsi="Arial" w:cs="Arial"/>
          <w:sz w:val="22"/>
          <w:szCs w:val="22"/>
        </w:rPr>
      </w:pPr>
      <w:r w:rsidRPr="00301916">
        <w:rPr>
          <w:rFonts w:ascii="Arial" w:hAnsi="Arial"/>
          <w:sz w:val="22"/>
          <w:szCs w:val="22"/>
          <w:u w:val="single"/>
        </w:rPr>
        <w:t>R</w:t>
      </w:r>
      <w:r>
        <w:rPr>
          <w:rFonts w:ascii="Arial" w:hAnsi="Arial"/>
          <w:sz w:val="22"/>
          <w:szCs w:val="22"/>
          <w:u w:val="single"/>
        </w:rPr>
        <w:t>appelant</w:t>
      </w:r>
      <w:r>
        <w:rPr>
          <w:rFonts w:ascii="Arial" w:hAnsi="Arial"/>
          <w:sz w:val="22"/>
          <w:szCs w:val="22"/>
        </w:rPr>
        <w:t xml:space="preserve"> les paragraphes 33 et 34 des Directives opérationnelles ainsi que ses décisions </w:t>
      </w:r>
      <w:hyperlink r:id="rId17" w:history="1">
        <w:r>
          <w:rPr>
            <w:rStyle w:val="Hyperlink"/>
            <w:rFonts w:ascii="Arial" w:hAnsi="Arial"/>
            <w:sz w:val="22"/>
            <w:szCs w:val="22"/>
          </w:rPr>
          <w:t>10.COM 13</w:t>
        </w:r>
      </w:hyperlink>
      <w:r>
        <w:rPr>
          <w:rFonts w:ascii="Arial" w:hAnsi="Arial"/>
          <w:color w:val="0000FF"/>
          <w:sz w:val="22"/>
          <w:szCs w:val="22"/>
        </w:rPr>
        <w:t xml:space="preserve">, </w:t>
      </w:r>
      <w:hyperlink r:id="rId18" w:history="1">
        <w:r>
          <w:rPr>
            <w:rStyle w:val="Hyperlink"/>
            <w:rFonts w:ascii="Arial" w:hAnsi="Arial"/>
            <w:sz w:val="22"/>
            <w:szCs w:val="22"/>
          </w:rPr>
          <w:t>11.COM 12</w:t>
        </w:r>
      </w:hyperlink>
      <w:r>
        <w:rPr>
          <w:rFonts w:ascii="Arial" w:hAnsi="Arial"/>
          <w:sz w:val="22"/>
          <w:szCs w:val="22"/>
        </w:rPr>
        <w:t xml:space="preserve">, </w:t>
      </w:r>
      <w:hyperlink r:id="rId19" w:history="1">
        <w:r>
          <w:rPr>
            <w:rStyle w:val="Hyperlink"/>
            <w:rFonts w:ascii="Arial" w:hAnsi="Arial"/>
            <w:sz w:val="22"/>
            <w:szCs w:val="22"/>
          </w:rPr>
          <w:t>12.COM 13</w:t>
        </w:r>
      </w:hyperlink>
      <w:r>
        <w:rPr>
          <w:rFonts w:ascii="Arial" w:hAnsi="Arial"/>
          <w:color w:val="0000FF"/>
          <w:sz w:val="22"/>
          <w:szCs w:val="22"/>
          <w:u w:val="single"/>
        </w:rPr>
        <w:t xml:space="preserve"> </w:t>
      </w:r>
      <w:hyperlink r:id="rId20" w:history="1">
        <w:r>
          <w:rPr>
            <w:rFonts w:ascii="Arial" w:hAnsi="Arial"/>
            <w:sz w:val="22"/>
            <w:szCs w:val="22"/>
          </w:rPr>
          <w:t>et</w:t>
        </w:r>
        <w:r>
          <w:rPr>
            <w:rStyle w:val="Hyperlink"/>
            <w:rFonts w:ascii="Arial" w:hAnsi="Arial"/>
            <w:sz w:val="22"/>
            <w:szCs w:val="22"/>
            <w:u w:val="none"/>
          </w:rPr>
          <w:t xml:space="preserve"> </w:t>
        </w:r>
        <w:r>
          <w:rPr>
            <w:rStyle w:val="Hyperlink"/>
            <w:rFonts w:ascii="Arial" w:hAnsi="Arial"/>
            <w:sz w:val="22"/>
            <w:szCs w:val="22"/>
          </w:rPr>
          <w:t>12.COM 14</w:t>
        </w:r>
      </w:hyperlink>
      <w:r>
        <w:rPr>
          <w:rFonts w:ascii="Arial" w:hAnsi="Arial"/>
          <w:sz w:val="22"/>
          <w:szCs w:val="22"/>
        </w:rPr>
        <w:t>,</w:t>
      </w:r>
    </w:p>
    <w:p w14:paraId="77EA8E1B" w14:textId="1EFF6DC6" w:rsidR="006E4083" w:rsidRPr="00980FC4" w:rsidRDefault="006E4083" w:rsidP="006E4083">
      <w:pPr>
        <w:numPr>
          <w:ilvl w:val="0"/>
          <w:numId w:val="10"/>
        </w:numPr>
        <w:autoSpaceDE w:val="0"/>
        <w:autoSpaceDN w:val="0"/>
        <w:adjustRightInd w:val="0"/>
        <w:spacing w:after="120"/>
        <w:ind w:left="1134" w:hanging="567"/>
        <w:jc w:val="both"/>
        <w:rPr>
          <w:rFonts w:ascii="Arial" w:eastAsia="SimSun" w:hAnsi="Arial" w:cs="Arial"/>
          <w:snapToGrid w:val="0"/>
          <w:sz w:val="22"/>
          <w:szCs w:val="22"/>
        </w:rPr>
      </w:pPr>
      <w:r>
        <w:rPr>
          <w:rFonts w:ascii="Arial" w:hAnsi="Arial"/>
          <w:snapToGrid w:val="0"/>
          <w:sz w:val="22"/>
          <w:szCs w:val="22"/>
          <w:u w:val="single"/>
        </w:rPr>
        <w:t>Prenant note</w:t>
      </w:r>
      <w:r>
        <w:rPr>
          <w:rFonts w:ascii="Arial" w:hAnsi="Arial"/>
          <w:snapToGrid w:val="0"/>
          <w:sz w:val="22"/>
          <w:szCs w:val="22"/>
        </w:rPr>
        <w:t xml:space="preserve"> que le nombre de dossiers </w:t>
      </w:r>
      <w:r w:rsidR="009E38AB">
        <w:rPr>
          <w:rFonts w:ascii="Arial" w:hAnsi="Arial"/>
          <w:snapToGrid w:val="0"/>
          <w:sz w:val="22"/>
          <w:szCs w:val="22"/>
        </w:rPr>
        <w:t xml:space="preserve">traités </w:t>
      </w:r>
      <w:r>
        <w:rPr>
          <w:rFonts w:ascii="Arial" w:hAnsi="Arial"/>
          <w:snapToGrid w:val="0"/>
          <w:sz w:val="22"/>
          <w:szCs w:val="22"/>
        </w:rPr>
        <w:t>pour le cycle 2019 s</w:t>
      </w:r>
      <w:r w:rsidR="0075127A">
        <w:rPr>
          <w:rFonts w:ascii="Arial" w:hAnsi="Arial"/>
          <w:snapToGrid w:val="0"/>
          <w:sz w:val="22"/>
          <w:szCs w:val="22"/>
        </w:rPr>
        <w:t>’</w:t>
      </w:r>
      <w:r>
        <w:rPr>
          <w:rFonts w:ascii="Arial" w:hAnsi="Arial"/>
          <w:snapToGrid w:val="0"/>
          <w:sz w:val="22"/>
          <w:szCs w:val="22"/>
        </w:rPr>
        <w:t xml:space="preserve">élève à cinquante et un </w:t>
      </w:r>
      <w:r>
        <w:rPr>
          <w:rFonts w:ascii="Arial" w:hAnsi="Arial"/>
          <w:sz w:val="22"/>
          <w:szCs w:val="22"/>
        </w:rPr>
        <w:t xml:space="preserve">(quarante-six dossiers nationaux et cinq dossiers multinationaux) </w:t>
      </w:r>
      <w:r>
        <w:rPr>
          <w:rFonts w:ascii="Arial" w:hAnsi="Arial"/>
          <w:snapToGrid w:val="0"/>
          <w:sz w:val="22"/>
          <w:szCs w:val="22"/>
        </w:rPr>
        <w:t xml:space="preserve">et que lors du cycle 2018, cinquante dossiers ont été </w:t>
      </w:r>
      <w:r w:rsidR="009E38AB">
        <w:rPr>
          <w:rFonts w:ascii="Arial" w:hAnsi="Arial"/>
          <w:snapToGrid w:val="0"/>
          <w:sz w:val="22"/>
          <w:szCs w:val="22"/>
        </w:rPr>
        <w:t xml:space="preserve">traités </w:t>
      </w:r>
      <w:r>
        <w:rPr>
          <w:rFonts w:ascii="Arial" w:hAnsi="Arial"/>
          <w:sz w:val="22"/>
          <w:szCs w:val="22"/>
        </w:rPr>
        <w:t>(quarante-quatre dossiers nationaux et six dossiers multinationaux)</w:t>
      </w:r>
      <w:r>
        <w:rPr>
          <w:rFonts w:ascii="Arial" w:hAnsi="Arial"/>
          <w:snapToGrid w:val="0"/>
          <w:sz w:val="22"/>
          <w:szCs w:val="22"/>
        </w:rPr>
        <w:t>,</w:t>
      </w:r>
    </w:p>
    <w:p w14:paraId="7C5A927F" w14:textId="4822FF73" w:rsidR="006E4083" w:rsidRPr="00721707" w:rsidRDefault="006E4083" w:rsidP="006E4083">
      <w:pPr>
        <w:numPr>
          <w:ilvl w:val="0"/>
          <w:numId w:val="10"/>
        </w:numPr>
        <w:autoSpaceDE w:val="0"/>
        <w:autoSpaceDN w:val="0"/>
        <w:adjustRightInd w:val="0"/>
        <w:spacing w:after="120"/>
        <w:ind w:left="1134" w:hanging="567"/>
        <w:jc w:val="both"/>
        <w:rPr>
          <w:rFonts w:ascii="Arial" w:eastAsia="SimSun" w:hAnsi="Arial" w:cs="Arial"/>
          <w:snapToGrid w:val="0"/>
          <w:sz w:val="22"/>
          <w:szCs w:val="22"/>
        </w:rPr>
      </w:pPr>
      <w:r>
        <w:rPr>
          <w:rFonts w:ascii="Arial" w:hAnsi="Arial"/>
          <w:snapToGrid w:val="0"/>
          <w:sz w:val="22"/>
          <w:szCs w:val="22"/>
          <w:u w:val="single"/>
        </w:rPr>
        <w:lastRenderedPageBreak/>
        <w:t>Considérant</w:t>
      </w:r>
      <w:r>
        <w:rPr>
          <w:rFonts w:ascii="Arial" w:hAnsi="Arial"/>
          <w:snapToGrid w:val="0"/>
          <w:sz w:val="22"/>
          <w:szCs w:val="22"/>
        </w:rPr>
        <w:t xml:space="preserve"> que ses capacités d’examiner les dossiers </w:t>
      </w:r>
      <w:r>
        <w:rPr>
          <w:rFonts w:ascii="Arial" w:hAnsi="Arial"/>
          <w:sz w:val="22"/>
          <w:szCs w:val="22"/>
        </w:rPr>
        <w:t>lors</w:t>
      </w:r>
      <w:r>
        <w:rPr>
          <w:rFonts w:ascii="Arial" w:hAnsi="Arial"/>
          <w:snapToGrid w:val="0"/>
          <w:sz w:val="22"/>
          <w:szCs w:val="22"/>
        </w:rPr>
        <w:t xml:space="preserve"> d</w:t>
      </w:r>
      <w:r w:rsidR="0075127A">
        <w:rPr>
          <w:rFonts w:ascii="Arial" w:hAnsi="Arial"/>
          <w:snapToGrid w:val="0"/>
          <w:sz w:val="22"/>
          <w:szCs w:val="22"/>
        </w:rPr>
        <w:t>’</w:t>
      </w:r>
      <w:r>
        <w:rPr>
          <w:rFonts w:ascii="Arial" w:hAnsi="Arial"/>
          <w:snapToGrid w:val="0"/>
          <w:sz w:val="22"/>
          <w:szCs w:val="22"/>
        </w:rPr>
        <w:t>une session restent limitées, de même que les capacités et les ressources humaines du Secrétariat,</w:t>
      </w:r>
    </w:p>
    <w:p w14:paraId="39B31988" w14:textId="62E83F8F" w:rsidR="006E4083" w:rsidRPr="00A229E7" w:rsidRDefault="006E4083" w:rsidP="006E4083">
      <w:pPr>
        <w:numPr>
          <w:ilvl w:val="0"/>
          <w:numId w:val="10"/>
        </w:numPr>
        <w:autoSpaceDE w:val="0"/>
        <w:autoSpaceDN w:val="0"/>
        <w:adjustRightInd w:val="0"/>
        <w:spacing w:after="120"/>
        <w:ind w:left="1134" w:hanging="567"/>
        <w:jc w:val="both"/>
        <w:rPr>
          <w:rFonts w:ascii="Arial" w:eastAsia="SimSun" w:hAnsi="Arial" w:cs="Arial"/>
          <w:snapToGrid w:val="0"/>
          <w:sz w:val="22"/>
          <w:szCs w:val="22"/>
        </w:rPr>
      </w:pPr>
      <w:r w:rsidRPr="00A229E7">
        <w:rPr>
          <w:rFonts w:ascii="Arial" w:hAnsi="Arial"/>
          <w:snapToGrid w:val="0"/>
          <w:sz w:val="22"/>
          <w:szCs w:val="22"/>
          <w:u w:val="single"/>
        </w:rPr>
        <w:t>Considérant par ailleurs</w:t>
      </w:r>
      <w:r w:rsidRPr="00A229E7">
        <w:rPr>
          <w:rFonts w:ascii="Arial" w:hAnsi="Arial"/>
          <w:snapToGrid w:val="0"/>
          <w:sz w:val="22"/>
          <w:szCs w:val="22"/>
        </w:rPr>
        <w:t xml:space="preserve"> que la composition et les méthodes de travail de l</w:t>
      </w:r>
      <w:r w:rsidR="0075127A" w:rsidRPr="00A229E7">
        <w:rPr>
          <w:rFonts w:ascii="Arial" w:hAnsi="Arial"/>
          <w:snapToGrid w:val="0"/>
          <w:sz w:val="22"/>
          <w:szCs w:val="22"/>
        </w:rPr>
        <w:t>’</w:t>
      </w:r>
      <w:r w:rsidRPr="00A229E7">
        <w:rPr>
          <w:rFonts w:ascii="Arial" w:hAnsi="Arial"/>
          <w:snapToGrid w:val="0"/>
          <w:sz w:val="22"/>
          <w:szCs w:val="22"/>
        </w:rPr>
        <w:t>Organe d</w:t>
      </w:r>
      <w:r w:rsidR="0075127A" w:rsidRPr="00A229E7">
        <w:rPr>
          <w:rFonts w:ascii="Arial" w:hAnsi="Arial"/>
          <w:snapToGrid w:val="0"/>
          <w:sz w:val="22"/>
          <w:szCs w:val="22"/>
        </w:rPr>
        <w:t>’</w:t>
      </w:r>
      <w:r w:rsidRPr="00A229E7">
        <w:rPr>
          <w:rFonts w:ascii="Arial" w:hAnsi="Arial"/>
          <w:snapToGrid w:val="0"/>
          <w:sz w:val="22"/>
          <w:szCs w:val="22"/>
        </w:rPr>
        <w:t>évaluation so</w:t>
      </w:r>
      <w:bookmarkStart w:id="0" w:name="_GoBack"/>
      <w:bookmarkEnd w:id="0"/>
      <w:r w:rsidRPr="00A229E7">
        <w:rPr>
          <w:rFonts w:ascii="Arial" w:hAnsi="Arial"/>
          <w:snapToGrid w:val="0"/>
          <w:sz w:val="22"/>
          <w:szCs w:val="22"/>
        </w:rPr>
        <w:t xml:space="preserve">nt destinées à assurer une </w:t>
      </w:r>
      <w:r w:rsidR="00A229E7">
        <w:rPr>
          <w:rFonts w:ascii="Arial" w:hAnsi="Arial"/>
          <w:snapToGrid w:val="0"/>
          <w:sz w:val="22"/>
          <w:szCs w:val="22"/>
        </w:rPr>
        <w:t>répartition</w:t>
      </w:r>
      <w:r w:rsidR="00A229E7" w:rsidRPr="00A229E7">
        <w:rPr>
          <w:rFonts w:ascii="Arial" w:hAnsi="Arial"/>
          <w:snapToGrid w:val="0"/>
          <w:sz w:val="22"/>
          <w:szCs w:val="22"/>
        </w:rPr>
        <w:t xml:space="preserve"> </w:t>
      </w:r>
      <w:r w:rsidRPr="00A229E7">
        <w:rPr>
          <w:rFonts w:ascii="Arial" w:hAnsi="Arial"/>
          <w:snapToGrid w:val="0"/>
          <w:sz w:val="22"/>
          <w:szCs w:val="22"/>
        </w:rPr>
        <w:t xml:space="preserve">géographique équitable et une représentation </w:t>
      </w:r>
      <w:r w:rsidR="00A229E7">
        <w:rPr>
          <w:rFonts w:ascii="Arial" w:hAnsi="Arial"/>
          <w:snapToGrid w:val="0"/>
          <w:sz w:val="22"/>
          <w:szCs w:val="22"/>
        </w:rPr>
        <w:t>équilibrée entre les</w:t>
      </w:r>
      <w:r w:rsidRPr="00A229E7">
        <w:rPr>
          <w:rFonts w:ascii="Arial" w:hAnsi="Arial"/>
          <w:snapToGrid w:val="0"/>
          <w:sz w:val="22"/>
          <w:szCs w:val="22"/>
        </w:rPr>
        <w:t xml:space="preserve"> experts et </w:t>
      </w:r>
      <w:r w:rsidR="00A229E7">
        <w:rPr>
          <w:rFonts w:ascii="Arial" w:hAnsi="Arial"/>
          <w:snapToGrid w:val="0"/>
          <w:sz w:val="22"/>
          <w:szCs w:val="22"/>
        </w:rPr>
        <w:t>l</w:t>
      </w:r>
      <w:r w:rsidRPr="00A229E7">
        <w:rPr>
          <w:rFonts w:ascii="Arial" w:hAnsi="Arial"/>
          <w:snapToGrid w:val="0"/>
          <w:sz w:val="22"/>
          <w:szCs w:val="22"/>
        </w:rPr>
        <w:t xml:space="preserve">es ONG pour </w:t>
      </w:r>
      <w:r w:rsidR="008610A9" w:rsidRPr="006D7FBA">
        <w:rPr>
          <w:rFonts w:ascii="Arial" w:hAnsi="Arial"/>
          <w:snapToGrid w:val="0"/>
          <w:sz w:val="22"/>
          <w:szCs w:val="22"/>
        </w:rPr>
        <w:t xml:space="preserve">évaluer </w:t>
      </w:r>
      <w:r w:rsidR="008D50BD">
        <w:rPr>
          <w:rFonts w:ascii="Arial" w:hAnsi="Arial"/>
          <w:snapToGrid w:val="0"/>
          <w:sz w:val="22"/>
          <w:szCs w:val="22"/>
        </w:rPr>
        <w:t>chaque</w:t>
      </w:r>
      <w:r w:rsidR="008610A9" w:rsidRPr="006D7FBA">
        <w:rPr>
          <w:rFonts w:ascii="Arial" w:hAnsi="Arial"/>
          <w:snapToGrid w:val="0"/>
          <w:sz w:val="22"/>
          <w:szCs w:val="22"/>
        </w:rPr>
        <w:t xml:space="preserve"> </w:t>
      </w:r>
      <w:r w:rsidRPr="00A229E7">
        <w:rPr>
          <w:rFonts w:ascii="Arial" w:hAnsi="Arial"/>
          <w:snapToGrid w:val="0"/>
          <w:sz w:val="22"/>
          <w:szCs w:val="22"/>
        </w:rPr>
        <w:t xml:space="preserve">critère </w:t>
      </w:r>
      <w:r w:rsidR="008D50BD">
        <w:rPr>
          <w:rFonts w:ascii="Arial" w:hAnsi="Arial"/>
          <w:snapToGrid w:val="0"/>
          <w:sz w:val="22"/>
          <w:szCs w:val="22"/>
        </w:rPr>
        <w:t>pour</w:t>
      </w:r>
      <w:r w:rsidR="008D50BD" w:rsidRPr="00A229E7">
        <w:rPr>
          <w:rFonts w:ascii="Arial" w:hAnsi="Arial"/>
          <w:snapToGrid w:val="0"/>
          <w:sz w:val="22"/>
          <w:szCs w:val="22"/>
        </w:rPr>
        <w:t xml:space="preserve"> </w:t>
      </w:r>
      <w:r w:rsidRPr="00A229E7">
        <w:rPr>
          <w:rFonts w:ascii="Arial" w:hAnsi="Arial"/>
          <w:snapToGrid w:val="0"/>
          <w:sz w:val="22"/>
          <w:szCs w:val="22"/>
        </w:rPr>
        <w:t>chaque dossier, les contraintes de temps qui lui sont associées limitant ses capacités,</w:t>
      </w:r>
    </w:p>
    <w:p w14:paraId="144BC38F" w14:textId="09870F8E" w:rsidR="006E4083" w:rsidRPr="000B3423" w:rsidRDefault="000B3423" w:rsidP="000B3423">
      <w:pPr>
        <w:numPr>
          <w:ilvl w:val="0"/>
          <w:numId w:val="10"/>
        </w:numPr>
        <w:autoSpaceDE w:val="0"/>
        <w:autoSpaceDN w:val="0"/>
        <w:adjustRightInd w:val="0"/>
        <w:spacing w:after="120"/>
        <w:ind w:left="1134" w:hanging="567"/>
        <w:jc w:val="both"/>
        <w:rPr>
          <w:rFonts w:ascii="Arial" w:eastAsia="SimSun" w:hAnsi="Arial" w:cs="Arial"/>
          <w:sz w:val="22"/>
          <w:szCs w:val="22"/>
        </w:rPr>
      </w:pPr>
      <w:r>
        <w:rPr>
          <w:rFonts w:ascii="Arial" w:hAnsi="Arial"/>
          <w:sz w:val="22"/>
          <w:szCs w:val="22"/>
          <w:u w:val="single"/>
        </w:rPr>
        <w:t>Décide</w:t>
      </w:r>
      <w:r>
        <w:rPr>
          <w:rFonts w:ascii="Arial" w:hAnsi="Arial"/>
          <w:sz w:val="22"/>
          <w:szCs w:val="22"/>
        </w:rPr>
        <w:t xml:space="preserve"> qu</w:t>
      </w:r>
      <w:r w:rsidR="0075127A">
        <w:rPr>
          <w:rFonts w:ascii="Arial" w:hAnsi="Arial"/>
          <w:sz w:val="22"/>
          <w:szCs w:val="22"/>
        </w:rPr>
        <w:t>’</w:t>
      </w:r>
      <w:r>
        <w:rPr>
          <w:rFonts w:ascii="Arial" w:hAnsi="Arial"/>
          <w:sz w:val="22"/>
          <w:szCs w:val="22"/>
        </w:rPr>
        <w:t>au cours des cycles 2020 et 2021, le nombre de candidatures à la Liste du patrimoine culturel immatériel nécessitant une sauvegarde urgente et à la Liste représentative du patrimoine culturel immatériel de l</w:t>
      </w:r>
      <w:r w:rsidR="0075127A">
        <w:rPr>
          <w:rFonts w:ascii="Arial" w:hAnsi="Arial"/>
          <w:sz w:val="22"/>
          <w:szCs w:val="22"/>
        </w:rPr>
        <w:t>’</w:t>
      </w:r>
      <w:r>
        <w:rPr>
          <w:rFonts w:ascii="Arial" w:hAnsi="Arial"/>
          <w:sz w:val="22"/>
          <w:szCs w:val="22"/>
        </w:rPr>
        <w:t>humanité, de propositions de programmes, projets et activités qui reflètent le mieux les principes et les objectifs de la Convention et de demandes d</w:t>
      </w:r>
      <w:r w:rsidR="0075127A">
        <w:rPr>
          <w:rFonts w:ascii="Arial" w:hAnsi="Arial"/>
          <w:sz w:val="22"/>
          <w:szCs w:val="22"/>
        </w:rPr>
        <w:t>’</w:t>
      </w:r>
      <w:r>
        <w:rPr>
          <w:rFonts w:ascii="Arial" w:hAnsi="Arial"/>
          <w:sz w:val="22"/>
          <w:szCs w:val="22"/>
        </w:rPr>
        <w:t>assistance internationale supérieures à 100 000 dollars des États-Unis qui peuvent être traités est fixé à cinquante par cycle ;</w:t>
      </w:r>
    </w:p>
    <w:p w14:paraId="399A0CA8" w14:textId="111FB153" w:rsidR="00F40139" w:rsidRPr="00721707" w:rsidRDefault="006E4083" w:rsidP="00F40139">
      <w:pPr>
        <w:numPr>
          <w:ilvl w:val="0"/>
          <w:numId w:val="10"/>
        </w:numPr>
        <w:autoSpaceDE w:val="0"/>
        <w:autoSpaceDN w:val="0"/>
        <w:adjustRightInd w:val="0"/>
        <w:spacing w:after="120"/>
        <w:ind w:left="1134" w:hanging="567"/>
        <w:jc w:val="both"/>
        <w:rPr>
          <w:rFonts w:ascii="Arial" w:eastAsia="SimSun" w:hAnsi="Arial" w:cs="Arial"/>
          <w:sz w:val="22"/>
          <w:szCs w:val="22"/>
        </w:rPr>
      </w:pPr>
      <w:r>
        <w:rPr>
          <w:rFonts w:ascii="Arial" w:hAnsi="Arial"/>
          <w:sz w:val="22"/>
          <w:szCs w:val="22"/>
          <w:u w:val="single"/>
        </w:rPr>
        <w:t>Décide également</w:t>
      </w:r>
      <w:r>
        <w:rPr>
          <w:rFonts w:ascii="Arial" w:hAnsi="Arial"/>
          <w:sz w:val="22"/>
          <w:szCs w:val="22"/>
        </w:rPr>
        <w:t xml:space="preserve"> qu</w:t>
      </w:r>
      <w:r w:rsidR="0075127A">
        <w:rPr>
          <w:rFonts w:ascii="Arial" w:hAnsi="Arial"/>
          <w:sz w:val="22"/>
          <w:szCs w:val="22"/>
        </w:rPr>
        <w:t>’</w:t>
      </w:r>
      <w:r>
        <w:rPr>
          <w:rFonts w:ascii="Arial" w:hAnsi="Arial"/>
          <w:sz w:val="22"/>
          <w:szCs w:val="22"/>
        </w:rPr>
        <w:t xml:space="preserve">au moins un dossier par État soumissionnaire doit être traité au cours de la période de deux ans 2020-2021, dans la limite du nombre convenu de candidatures par </w:t>
      </w:r>
      <w:proofErr w:type="spellStart"/>
      <w:r>
        <w:rPr>
          <w:rFonts w:ascii="Arial" w:hAnsi="Arial"/>
          <w:sz w:val="22"/>
          <w:szCs w:val="22"/>
        </w:rPr>
        <w:t>biennium</w:t>
      </w:r>
      <w:proofErr w:type="spellEnd"/>
      <w:r>
        <w:rPr>
          <w:rFonts w:ascii="Arial" w:hAnsi="Arial"/>
          <w:sz w:val="22"/>
          <w:szCs w:val="22"/>
        </w:rPr>
        <w:t xml:space="preserve">, conformément au paragraphe 34 des Directives opérationnelles, que les États parties ayant soumis des dossiers ne pouvant être traités au cours du cycle 2019 verront leurs dossiers </w:t>
      </w:r>
      <w:r w:rsidR="009E38AB">
        <w:rPr>
          <w:rFonts w:ascii="Arial" w:hAnsi="Arial"/>
          <w:sz w:val="22"/>
          <w:szCs w:val="22"/>
        </w:rPr>
        <w:t xml:space="preserve">traités </w:t>
      </w:r>
      <w:r>
        <w:rPr>
          <w:rFonts w:ascii="Arial" w:hAnsi="Arial"/>
          <w:sz w:val="22"/>
          <w:szCs w:val="22"/>
        </w:rPr>
        <w:t xml:space="preserve">en priorité au cours du cycle 2020 et que les États parties dont les dossiers ne seront pas </w:t>
      </w:r>
      <w:r w:rsidR="009E38AB">
        <w:rPr>
          <w:rFonts w:ascii="Arial" w:hAnsi="Arial"/>
          <w:sz w:val="22"/>
          <w:szCs w:val="22"/>
        </w:rPr>
        <w:t xml:space="preserve">traités </w:t>
      </w:r>
      <w:r>
        <w:rPr>
          <w:rFonts w:ascii="Arial" w:hAnsi="Arial"/>
          <w:sz w:val="22"/>
          <w:szCs w:val="22"/>
        </w:rPr>
        <w:t>au cours du cycle 2021 auront la priorité au cours du cycle 2022, suivant le principe d</w:t>
      </w:r>
      <w:r w:rsidR="0075127A">
        <w:rPr>
          <w:rFonts w:ascii="Arial" w:hAnsi="Arial"/>
          <w:sz w:val="22"/>
          <w:szCs w:val="22"/>
        </w:rPr>
        <w:t>’</w:t>
      </w:r>
      <w:r>
        <w:rPr>
          <w:rFonts w:ascii="Arial" w:hAnsi="Arial"/>
          <w:sz w:val="22"/>
          <w:szCs w:val="22"/>
        </w:rPr>
        <w:t>un dossier par État soumissionnaire au cours de la période de deux ans ;</w:t>
      </w:r>
    </w:p>
    <w:p w14:paraId="65E45C59" w14:textId="26A471F4" w:rsidR="006E4083" w:rsidRPr="00721707" w:rsidRDefault="000B3423" w:rsidP="006E4083">
      <w:pPr>
        <w:numPr>
          <w:ilvl w:val="0"/>
          <w:numId w:val="10"/>
        </w:numPr>
        <w:autoSpaceDE w:val="0"/>
        <w:autoSpaceDN w:val="0"/>
        <w:adjustRightInd w:val="0"/>
        <w:spacing w:after="120"/>
        <w:ind w:left="1134" w:hanging="567"/>
        <w:jc w:val="both"/>
        <w:rPr>
          <w:rFonts w:ascii="Arial" w:eastAsia="SimSun" w:hAnsi="Arial" w:cs="Arial"/>
          <w:sz w:val="22"/>
          <w:szCs w:val="22"/>
        </w:rPr>
      </w:pPr>
      <w:r>
        <w:rPr>
          <w:rFonts w:ascii="Arial" w:hAnsi="Arial"/>
          <w:sz w:val="22"/>
          <w:szCs w:val="22"/>
          <w:u w:val="single"/>
        </w:rPr>
        <w:t>Décide en outre</w:t>
      </w:r>
      <w:r>
        <w:rPr>
          <w:rFonts w:ascii="Arial" w:hAnsi="Arial"/>
          <w:sz w:val="22"/>
          <w:szCs w:val="22"/>
        </w:rPr>
        <w:t xml:space="preserve"> que le Secrétariat pourra exercer une certaine flexibilité, si cela permet une plus grande équité entre les États soumissionnaires ayant le même niveau de priorité en vertu du paragraphe 34 des Directives opérationnelles ;</w:t>
      </w:r>
    </w:p>
    <w:p w14:paraId="04B7C1F0" w14:textId="77777777" w:rsidR="006E4083" w:rsidRPr="00721707" w:rsidRDefault="006E4083" w:rsidP="006E4083">
      <w:pPr>
        <w:numPr>
          <w:ilvl w:val="0"/>
          <w:numId w:val="10"/>
        </w:numPr>
        <w:autoSpaceDE w:val="0"/>
        <w:autoSpaceDN w:val="0"/>
        <w:adjustRightInd w:val="0"/>
        <w:spacing w:after="120"/>
        <w:ind w:left="1134" w:hanging="567"/>
        <w:jc w:val="both"/>
        <w:rPr>
          <w:rFonts w:ascii="Arial" w:hAnsi="Arial" w:cs="Arial"/>
          <w:sz w:val="22"/>
          <w:szCs w:val="22"/>
        </w:rPr>
      </w:pPr>
      <w:r>
        <w:rPr>
          <w:rFonts w:ascii="Arial" w:hAnsi="Arial"/>
          <w:sz w:val="22"/>
          <w:szCs w:val="22"/>
          <w:u w:val="single"/>
        </w:rPr>
        <w:t>Invite</w:t>
      </w:r>
      <w:r>
        <w:rPr>
          <w:rFonts w:ascii="Arial" w:hAnsi="Arial"/>
          <w:sz w:val="22"/>
          <w:szCs w:val="22"/>
        </w:rPr>
        <w:t xml:space="preserve"> les États parties à tenir compte de la présente décision lors de la soumission de dossiers pour les cycles 2020 et 2021 ;</w:t>
      </w:r>
    </w:p>
    <w:p w14:paraId="73A953D3" w14:textId="07E289CF" w:rsidR="00EB650B" w:rsidRDefault="006E4083" w:rsidP="00162386">
      <w:pPr>
        <w:numPr>
          <w:ilvl w:val="0"/>
          <w:numId w:val="10"/>
        </w:numPr>
        <w:autoSpaceDE w:val="0"/>
        <w:autoSpaceDN w:val="0"/>
        <w:adjustRightInd w:val="0"/>
        <w:spacing w:after="120"/>
        <w:ind w:left="1134" w:hanging="567"/>
        <w:jc w:val="both"/>
        <w:rPr>
          <w:rFonts w:ascii="Arial" w:eastAsia="SimSun" w:hAnsi="Arial" w:cs="Arial"/>
          <w:sz w:val="22"/>
          <w:szCs w:val="22"/>
        </w:rPr>
        <w:sectPr w:rsidR="00EB650B" w:rsidSect="00655736">
          <w:headerReference w:type="even" r:id="rId21"/>
          <w:headerReference w:type="default" r:id="rId22"/>
          <w:headerReference w:type="first" r:id="rId23"/>
          <w:pgSz w:w="11906" w:h="16838" w:code="9"/>
          <w:pgMar w:top="1418" w:right="1134" w:bottom="1134" w:left="1134" w:header="397" w:footer="284" w:gutter="0"/>
          <w:cols w:space="708"/>
          <w:titlePg/>
          <w:docGrid w:linePitch="360"/>
        </w:sectPr>
      </w:pPr>
      <w:r>
        <w:rPr>
          <w:rFonts w:ascii="Arial" w:hAnsi="Arial"/>
          <w:sz w:val="22"/>
          <w:szCs w:val="22"/>
          <w:u w:val="single"/>
        </w:rPr>
        <w:t>Demande</w:t>
      </w:r>
      <w:r>
        <w:rPr>
          <w:rFonts w:ascii="Arial" w:hAnsi="Arial"/>
          <w:sz w:val="22"/>
          <w:szCs w:val="22"/>
        </w:rPr>
        <w:t xml:space="preserve"> au Secrétariat de lui faire part du nombre de dossiers soumis pour le</w:t>
      </w:r>
      <w:r w:rsidR="00CE22E0">
        <w:rPr>
          <w:rFonts w:ascii="Arial" w:hAnsi="Arial"/>
          <w:sz w:val="22"/>
          <w:szCs w:val="22"/>
        </w:rPr>
        <w:t>s</w:t>
      </w:r>
      <w:r>
        <w:rPr>
          <w:rFonts w:ascii="Arial" w:hAnsi="Arial"/>
          <w:sz w:val="22"/>
          <w:szCs w:val="22"/>
        </w:rPr>
        <w:t xml:space="preserve"> cycle</w:t>
      </w:r>
      <w:r w:rsidR="00CE22E0">
        <w:rPr>
          <w:rFonts w:ascii="Arial" w:hAnsi="Arial"/>
          <w:sz w:val="22"/>
          <w:szCs w:val="22"/>
        </w:rPr>
        <w:t>s</w:t>
      </w:r>
      <w:r>
        <w:rPr>
          <w:rFonts w:ascii="Arial" w:hAnsi="Arial"/>
          <w:sz w:val="22"/>
          <w:szCs w:val="22"/>
        </w:rPr>
        <w:t> 2020 et 2021 et de son expérience dans l</w:t>
      </w:r>
      <w:r w:rsidR="0075127A">
        <w:rPr>
          <w:rFonts w:ascii="Arial" w:hAnsi="Arial"/>
          <w:sz w:val="22"/>
          <w:szCs w:val="22"/>
        </w:rPr>
        <w:t>’</w:t>
      </w:r>
      <w:r>
        <w:rPr>
          <w:rFonts w:ascii="Arial" w:hAnsi="Arial"/>
          <w:sz w:val="22"/>
          <w:szCs w:val="22"/>
        </w:rPr>
        <w:t>application des Directives opérationnelles et de la présente décision à sa quinzième session.</w:t>
      </w:r>
    </w:p>
    <w:p w14:paraId="13D9B21F" w14:textId="15474D8B" w:rsidR="00030F47" w:rsidRPr="00EB650B" w:rsidRDefault="00030F47" w:rsidP="00162386">
      <w:pPr>
        <w:pStyle w:val="COMParaDecision"/>
        <w:pageBreakBefore/>
        <w:numPr>
          <w:ilvl w:val="0"/>
          <w:numId w:val="0"/>
        </w:numPr>
        <w:jc w:val="center"/>
        <w:rPr>
          <w:b/>
          <w:u w:val="none"/>
        </w:rPr>
      </w:pPr>
      <w:r>
        <w:rPr>
          <w:b/>
          <w:u w:val="none"/>
        </w:rPr>
        <w:lastRenderedPageBreak/>
        <w:t>ANNEXE</w:t>
      </w:r>
      <w:r>
        <w:rPr>
          <w:b/>
          <w:u w:val="none"/>
        </w:rPr>
        <w:br/>
        <w:t>Dossiers pour le cycle 2019</w:t>
      </w:r>
    </w:p>
    <w:tbl>
      <w:tblPr>
        <w:tblStyle w:val="TableGrid"/>
        <w:tblW w:w="14596" w:type="dxa"/>
        <w:shd w:val="clear" w:color="auto" w:fill="FFFFFF" w:themeFill="background1"/>
        <w:tblLayout w:type="fixed"/>
        <w:tblLook w:val="04A0" w:firstRow="1" w:lastRow="0" w:firstColumn="1" w:lastColumn="0" w:noHBand="0" w:noVBand="1"/>
      </w:tblPr>
      <w:tblGrid>
        <w:gridCol w:w="562"/>
        <w:gridCol w:w="2835"/>
        <w:gridCol w:w="709"/>
        <w:gridCol w:w="7229"/>
        <w:gridCol w:w="3261"/>
      </w:tblGrid>
      <w:tr w:rsidR="00162386" w:rsidRPr="00162386" w14:paraId="4E24D9D2" w14:textId="7EE54253" w:rsidTr="006D7FBA">
        <w:trPr>
          <w:tblHeader/>
        </w:trPr>
        <w:tc>
          <w:tcPr>
            <w:tcW w:w="3397" w:type="dxa"/>
            <w:gridSpan w:val="2"/>
            <w:tcBorders>
              <w:right w:val="single" w:sz="4" w:space="0" w:color="auto"/>
            </w:tcBorders>
            <w:shd w:val="clear" w:color="auto" w:fill="D9D9D9" w:themeFill="background1" w:themeFillShade="D9"/>
          </w:tcPr>
          <w:p w14:paraId="5A258312" w14:textId="49E2A755" w:rsidR="00A933F3" w:rsidRPr="00162386" w:rsidRDefault="00162386" w:rsidP="00162386">
            <w:pPr>
              <w:pStyle w:val="COMParaDecision"/>
              <w:numPr>
                <w:ilvl w:val="0"/>
                <w:numId w:val="0"/>
              </w:numPr>
              <w:spacing w:before="240" w:after="240"/>
              <w:jc w:val="left"/>
              <w:rPr>
                <w:u w:val="none"/>
              </w:rPr>
            </w:pPr>
            <w:r>
              <w:rPr>
                <w:u w:val="none"/>
              </w:rPr>
              <w:t>Pays</w:t>
            </w:r>
          </w:p>
        </w:tc>
        <w:tc>
          <w:tcPr>
            <w:tcW w:w="79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EE35A" w14:textId="6E45E98D" w:rsidR="00A933F3" w:rsidRPr="00162386" w:rsidRDefault="00A933F3" w:rsidP="00162386">
            <w:pPr>
              <w:pStyle w:val="COMParaDecision"/>
              <w:numPr>
                <w:ilvl w:val="0"/>
                <w:numId w:val="0"/>
              </w:numPr>
              <w:spacing w:before="240" w:after="240"/>
              <w:jc w:val="left"/>
              <w:rPr>
                <w:u w:val="none"/>
              </w:rPr>
            </w:pPr>
            <w:r>
              <w:rPr>
                <w:u w:val="none"/>
              </w:rPr>
              <w:t>Dossiers soumis</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2E63C3" w14:textId="7366A57C" w:rsidR="00A933F3" w:rsidRPr="00162386" w:rsidRDefault="00A933F3" w:rsidP="00162386">
            <w:pPr>
              <w:pStyle w:val="COMParaDecision"/>
              <w:numPr>
                <w:ilvl w:val="0"/>
                <w:numId w:val="0"/>
              </w:numPr>
              <w:spacing w:before="240" w:after="240"/>
              <w:jc w:val="left"/>
              <w:rPr>
                <w:u w:val="none"/>
              </w:rPr>
            </w:pPr>
            <w:r>
              <w:rPr>
                <w:u w:val="none"/>
              </w:rPr>
              <w:t>Niveau de priorité</w:t>
            </w:r>
          </w:p>
        </w:tc>
      </w:tr>
      <w:tr w:rsidR="00EB650B" w:rsidRPr="00162386" w14:paraId="4D2EA8F2" w14:textId="77777777" w:rsidTr="006D7FBA">
        <w:tc>
          <w:tcPr>
            <w:tcW w:w="562" w:type="dxa"/>
            <w:shd w:val="clear" w:color="auto" w:fill="FFFFFF" w:themeFill="background1"/>
          </w:tcPr>
          <w:p w14:paraId="7D18771F" w14:textId="69D805C5" w:rsidR="001639C1" w:rsidRPr="006D7FBA" w:rsidRDefault="001639C1" w:rsidP="00162386">
            <w:pPr>
              <w:pStyle w:val="COMParaDecision"/>
              <w:numPr>
                <w:ilvl w:val="0"/>
                <w:numId w:val="0"/>
              </w:numPr>
              <w:spacing w:before="40" w:after="40"/>
              <w:rPr>
                <w:u w:val="none"/>
              </w:rPr>
            </w:pPr>
            <w:r w:rsidRPr="006D7FBA">
              <w:rPr>
                <w:u w:val="none"/>
              </w:rPr>
              <w:t>1</w:t>
            </w:r>
          </w:p>
        </w:tc>
        <w:tc>
          <w:tcPr>
            <w:tcW w:w="2835" w:type="dxa"/>
            <w:tcBorders>
              <w:bottom w:val="nil"/>
              <w:right w:val="single" w:sz="4" w:space="0" w:color="auto"/>
            </w:tcBorders>
            <w:shd w:val="clear" w:color="auto" w:fill="FFFFFF" w:themeFill="background1"/>
          </w:tcPr>
          <w:p w14:paraId="2E9ED141" w14:textId="58D89726" w:rsidR="001639C1" w:rsidRPr="00162386" w:rsidRDefault="001639C1" w:rsidP="00162386">
            <w:pPr>
              <w:pStyle w:val="COMParaDecision"/>
              <w:numPr>
                <w:ilvl w:val="0"/>
                <w:numId w:val="0"/>
              </w:numPr>
              <w:spacing w:before="40" w:after="40"/>
              <w:jc w:val="left"/>
              <w:rPr>
                <w:u w:val="none"/>
              </w:rPr>
            </w:pPr>
            <w:r>
              <w:rPr>
                <w:u w:val="none"/>
              </w:rPr>
              <w:t>Arménie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DCE8128" w14:textId="082B6F90" w:rsidR="001639C1" w:rsidRPr="00162386" w:rsidRDefault="001639C1"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163DAD81" w14:textId="0563AA3A" w:rsidR="001639C1" w:rsidRPr="006D7FBA" w:rsidRDefault="001639C1" w:rsidP="00162386">
            <w:pPr>
              <w:pStyle w:val="COMParaDecision"/>
              <w:numPr>
                <w:ilvl w:val="0"/>
                <w:numId w:val="0"/>
              </w:numPr>
              <w:spacing w:before="40" w:after="40"/>
              <w:jc w:val="left"/>
              <w:rPr>
                <w:u w:val="none"/>
                <w:lang w:val="en-US"/>
              </w:rPr>
            </w:pPr>
            <w:r w:rsidRPr="006D7FBA">
              <w:rPr>
                <w:u w:val="none"/>
                <w:lang w:val="en-US"/>
              </w:rPr>
              <w:t>Armenian letter art and its cultural expressions (01513)</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735FCC3" w14:textId="5B862E6A" w:rsidR="001639C1" w:rsidRPr="00162386" w:rsidRDefault="001639C1" w:rsidP="00162386">
            <w:pPr>
              <w:pStyle w:val="COMParaDecision"/>
              <w:numPr>
                <w:ilvl w:val="0"/>
                <w:numId w:val="0"/>
              </w:numPr>
              <w:spacing w:before="40" w:after="40"/>
              <w:jc w:val="left"/>
              <w:rPr>
                <w:u w:val="none"/>
              </w:rPr>
            </w:pPr>
            <w:r>
              <w:rPr>
                <w:u w:val="none"/>
              </w:rPr>
              <w:t>(0) un dossier pour 2018-2019</w:t>
            </w:r>
          </w:p>
        </w:tc>
      </w:tr>
      <w:tr w:rsidR="00EB650B" w:rsidRPr="00162386" w14:paraId="6700FCEB" w14:textId="77777777" w:rsidTr="006D7FBA">
        <w:tc>
          <w:tcPr>
            <w:tcW w:w="562" w:type="dxa"/>
            <w:shd w:val="clear" w:color="auto" w:fill="FFFFFF" w:themeFill="background1"/>
          </w:tcPr>
          <w:p w14:paraId="20D286EA" w14:textId="1FB8C7EA" w:rsidR="001639C1" w:rsidRPr="006D7FBA" w:rsidRDefault="001639C1" w:rsidP="00162386">
            <w:pPr>
              <w:pStyle w:val="COMParaDecision"/>
              <w:numPr>
                <w:ilvl w:val="0"/>
                <w:numId w:val="0"/>
              </w:numPr>
              <w:spacing w:before="40" w:after="40"/>
              <w:rPr>
                <w:u w:val="none"/>
              </w:rPr>
            </w:pPr>
            <w:r w:rsidRPr="006D7FBA">
              <w:rPr>
                <w:u w:val="none"/>
              </w:rPr>
              <w:t>2</w:t>
            </w:r>
          </w:p>
        </w:tc>
        <w:tc>
          <w:tcPr>
            <w:tcW w:w="2835" w:type="dxa"/>
            <w:tcBorders>
              <w:bottom w:val="nil"/>
              <w:right w:val="single" w:sz="4" w:space="0" w:color="auto"/>
            </w:tcBorders>
            <w:shd w:val="clear" w:color="auto" w:fill="FFFFFF" w:themeFill="background1"/>
          </w:tcPr>
          <w:p w14:paraId="478E9360" w14:textId="740EA95F" w:rsidR="001639C1" w:rsidRPr="00162386" w:rsidRDefault="001639C1" w:rsidP="00162386">
            <w:pPr>
              <w:pStyle w:val="COMParaDecision"/>
              <w:numPr>
                <w:ilvl w:val="0"/>
                <w:numId w:val="0"/>
              </w:numPr>
              <w:spacing w:before="40" w:after="40"/>
              <w:jc w:val="left"/>
              <w:rPr>
                <w:u w:val="none"/>
              </w:rPr>
            </w:pPr>
            <w:r>
              <w:rPr>
                <w:u w:val="none"/>
              </w:rPr>
              <w:t>Belgique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3B8B7F2" w14:textId="71849C51" w:rsidR="001639C1" w:rsidRPr="00162386" w:rsidRDefault="001639C1"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2075923D" w14:textId="1D4FD38D" w:rsidR="001639C1" w:rsidRPr="006D7FBA" w:rsidRDefault="001639C1" w:rsidP="00162386">
            <w:pPr>
              <w:pStyle w:val="COMParaDecision"/>
              <w:numPr>
                <w:ilvl w:val="0"/>
                <w:numId w:val="0"/>
              </w:numPr>
              <w:spacing w:before="40" w:after="40"/>
              <w:jc w:val="left"/>
              <w:rPr>
                <w:u w:val="none"/>
              </w:rPr>
            </w:pPr>
            <w:r w:rsidRPr="006D7FBA">
              <w:rPr>
                <w:u w:val="none"/>
              </w:rPr>
              <w:t>L</w:t>
            </w:r>
            <w:r w:rsidR="0075127A" w:rsidRPr="006D7FBA">
              <w:rPr>
                <w:u w:val="none"/>
              </w:rPr>
              <w:t>’</w:t>
            </w:r>
            <w:r w:rsidRPr="006D7FBA">
              <w:rPr>
                <w:u w:val="none"/>
              </w:rPr>
              <w:t>Ommegang de Bruxelles - cortège historique et fête populaire annuels (01366)</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977E109" w14:textId="1919B861" w:rsidR="001639C1" w:rsidRPr="00162386" w:rsidRDefault="001639C1" w:rsidP="00162386">
            <w:pPr>
              <w:pStyle w:val="COMParaDecision"/>
              <w:numPr>
                <w:ilvl w:val="0"/>
                <w:numId w:val="0"/>
              </w:numPr>
              <w:spacing w:before="40" w:after="40"/>
              <w:jc w:val="left"/>
              <w:rPr>
                <w:u w:val="none"/>
              </w:rPr>
            </w:pPr>
            <w:r>
              <w:rPr>
                <w:u w:val="none"/>
              </w:rPr>
              <w:t>(0) un dossier pour 2018-2019</w:t>
            </w:r>
          </w:p>
        </w:tc>
      </w:tr>
      <w:tr w:rsidR="00EB650B" w:rsidRPr="00162386" w14:paraId="3F57516C" w14:textId="77777777" w:rsidTr="006D7FBA">
        <w:tc>
          <w:tcPr>
            <w:tcW w:w="562" w:type="dxa"/>
            <w:shd w:val="clear" w:color="auto" w:fill="FFFFFF" w:themeFill="background1"/>
          </w:tcPr>
          <w:p w14:paraId="4E4A0AA9" w14:textId="35C0C7EA" w:rsidR="001639C1" w:rsidRPr="006D7FBA" w:rsidRDefault="001639C1" w:rsidP="00162386">
            <w:pPr>
              <w:pStyle w:val="COMParaDecision"/>
              <w:numPr>
                <w:ilvl w:val="0"/>
                <w:numId w:val="0"/>
              </w:numPr>
              <w:spacing w:before="40" w:after="40"/>
              <w:rPr>
                <w:u w:val="none"/>
              </w:rPr>
            </w:pPr>
            <w:r w:rsidRPr="006D7FBA">
              <w:rPr>
                <w:u w:val="none"/>
              </w:rPr>
              <w:t>3</w:t>
            </w:r>
          </w:p>
        </w:tc>
        <w:tc>
          <w:tcPr>
            <w:tcW w:w="2835" w:type="dxa"/>
            <w:tcBorders>
              <w:bottom w:val="nil"/>
              <w:right w:val="single" w:sz="4" w:space="0" w:color="auto"/>
            </w:tcBorders>
            <w:shd w:val="clear" w:color="auto" w:fill="FFFFFF" w:themeFill="background1"/>
          </w:tcPr>
          <w:p w14:paraId="0987CF63" w14:textId="10CBFF0C" w:rsidR="001639C1" w:rsidRPr="00162386" w:rsidRDefault="001639C1" w:rsidP="00162386">
            <w:pPr>
              <w:pStyle w:val="COMParaDecision"/>
              <w:numPr>
                <w:ilvl w:val="0"/>
                <w:numId w:val="0"/>
              </w:numPr>
              <w:spacing w:before="40" w:after="40"/>
              <w:jc w:val="left"/>
              <w:rPr>
                <w:u w:val="none"/>
              </w:rPr>
            </w:pPr>
            <w:r>
              <w:rPr>
                <w:u w:val="none"/>
              </w:rPr>
              <w:t>Bolivie (État plurinational de)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A2BC236" w14:textId="7D043B68" w:rsidR="001639C1" w:rsidRPr="00162386" w:rsidRDefault="001639C1"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3BC662C4" w14:textId="5B3DB51F" w:rsidR="001639C1" w:rsidRPr="006D7FBA" w:rsidRDefault="001639C1" w:rsidP="00162386">
            <w:pPr>
              <w:pStyle w:val="COMParaDecision"/>
              <w:numPr>
                <w:ilvl w:val="0"/>
                <w:numId w:val="0"/>
              </w:numPr>
              <w:spacing w:before="40" w:after="40"/>
              <w:jc w:val="left"/>
              <w:rPr>
                <w:u w:val="none"/>
                <w:lang w:val="es-ES"/>
              </w:rPr>
            </w:pPr>
            <w:r w:rsidRPr="006D7FBA">
              <w:rPr>
                <w:u w:val="none"/>
                <w:lang w:val="es-ES"/>
              </w:rPr>
              <w:t xml:space="preserve">La </w:t>
            </w:r>
            <w:proofErr w:type="spellStart"/>
            <w:r w:rsidRPr="006D7FBA">
              <w:rPr>
                <w:u w:val="none"/>
                <w:lang w:val="es-ES"/>
              </w:rPr>
              <w:t>festivité</w:t>
            </w:r>
            <w:proofErr w:type="spellEnd"/>
            <w:r w:rsidRPr="006D7FBA">
              <w:rPr>
                <w:u w:val="none"/>
                <w:lang w:val="es-ES"/>
              </w:rPr>
              <w:t xml:space="preserve"> de la </w:t>
            </w:r>
            <w:r w:rsidR="0075127A" w:rsidRPr="006D7FBA">
              <w:rPr>
                <w:u w:val="none"/>
                <w:lang w:val="es-ES"/>
              </w:rPr>
              <w:t>‘</w:t>
            </w:r>
            <w:r w:rsidRPr="006D7FBA">
              <w:rPr>
                <w:u w:val="none"/>
                <w:lang w:val="es-ES"/>
              </w:rPr>
              <w:t>Santísima Trinidad del Señor Jesús del Gran Poder</w:t>
            </w:r>
            <w:r w:rsidR="0075127A" w:rsidRPr="006D7FBA">
              <w:rPr>
                <w:u w:val="none"/>
                <w:lang w:val="es-ES"/>
              </w:rPr>
              <w:t>’</w:t>
            </w:r>
            <w:r w:rsidRPr="006D7FBA">
              <w:rPr>
                <w:u w:val="none"/>
                <w:lang w:val="es-ES"/>
              </w:rPr>
              <w:t xml:space="preserve"> de la </w:t>
            </w:r>
            <w:proofErr w:type="spellStart"/>
            <w:r w:rsidRPr="006D7FBA">
              <w:rPr>
                <w:u w:val="none"/>
                <w:lang w:val="es-ES"/>
              </w:rPr>
              <w:t>ville</w:t>
            </w:r>
            <w:proofErr w:type="spellEnd"/>
            <w:r w:rsidRPr="006D7FBA">
              <w:rPr>
                <w:u w:val="none"/>
                <w:lang w:val="es-ES"/>
              </w:rPr>
              <w:t xml:space="preserve"> de La Paz (01389)</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4C7C82D" w14:textId="01AD9130" w:rsidR="001639C1" w:rsidRPr="00162386" w:rsidRDefault="001639C1" w:rsidP="00162386">
            <w:pPr>
              <w:pStyle w:val="COMParaDecision"/>
              <w:numPr>
                <w:ilvl w:val="0"/>
                <w:numId w:val="0"/>
              </w:numPr>
              <w:spacing w:before="40" w:after="40"/>
              <w:jc w:val="left"/>
              <w:rPr>
                <w:u w:val="none"/>
              </w:rPr>
            </w:pPr>
            <w:r>
              <w:rPr>
                <w:u w:val="none"/>
              </w:rPr>
              <w:t>(0) un dossier pour 2018-2019</w:t>
            </w:r>
          </w:p>
        </w:tc>
      </w:tr>
      <w:tr w:rsidR="00EB650B" w:rsidRPr="00162386" w14:paraId="2FD52D39" w14:textId="77777777" w:rsidTr="006D7FBA">
        <w:tc>
          <w:tcPr>
            <w:tcW w:w="562" w:type="dxa"/>
            <w:shd w:val="clear" w:color="auto" w:fill="FFFFFF" w:themeFill="background1"/>
          </w:tcPr>
          <w:p w14:paraId="663BF80E" w14:textId="7AB62002" w:rsidR="001639C1" w:rsidRPr="006D7FBA" w:rsidRDefault="001639C1" w:rsidP="00162386">
            <w:pPr>
              <w:pStyle w:val="COMParaDecision"/>
              <w:numPr>
                <w:ilvl w:val="0"/>
                <w:numId w:val="0"/>
              </w:numPr>
              <w:spacing w:before="40" w:after="40"/>
              <w:rPr>
                <w:u w:val="none"/>
              </w:rPr>
            </w:pPr>
            <w:r w:rsidRPr="006D7FBA">
              <w:rPr>
                <w:u w:val="none"/>
              </w:rPr>
              <w:t>4</w:t>
            </w:r>
          </w:p>
        </w:tc>
        <w:tc>
          <w:tcPr>
            <w:tcW w:w="2835" w:type="dxa"/>
            <w:tcBorders>
              <w:bottom w:val="nil"/>
              <w:right w:val="single" w:sz="4" w:space="0" w:color="auto"/>
            </w:tcBorders>
            <w:shd w:val="clear" w:color="auto" w:fill="FFFFFF" w:themeFill="background1"/>
          </w:tcPr>
          <w:p w14:paraId="25A82B39" w14:textId="3316C668" w:rsidR="001639C1" w:rsidRPr="00162386" w:rsidRDefault="001639C1" w:rsidP="00162386">
            <w:pPr>
              <w:pStyle w:val="COMParaDecision"/>
              <w:numPr>
                <w:ilvl w:val="0"/>
                <w:numId w:val="0"/>
              </w:numPr>
              <w:spacing w:before="40" w:after="40"/>
              <w:jc w:val="left"/>
              <w:rPr>
                <w:u w:val="none"/>
              </w:rPr>
            </w:pPr>
            <w:r>
              <w:rPr>
                <w:u w:val="none"/>
              </w:rPr>
              <w:t>Brésil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F8EE008" w14:textId="0BC64A71" w:rsidR="001639C1" w:rsidRPr="00162386" w:rsidRDefault="001639C1"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673560D4" w14:textId="51228F8A" w:rsidR="001639C1" w:rsidRPr="006D7FBA" w:rsidRDefault="001639C1" w:rsidP="00162386">
            <w:pPr>
              <w:pStyle w:val="COMParaDecision"/>
              <w:numPr>
                <w:ilvl w:val="0"/>
                <w:numId w:val="0"/>
              </w:numPr>
              <w:spacing w:before="40" w:after="40"/>
              <w:jc w:val="left"/>
              <w:rPr>
                <w:u w:val="none"/>
                <w:lang w:val="en-US"/>
              </w:rPr>
            </w:pPr>
            <w:r w:rsidRPr="006D7FBA">
              <w:rPr>
                <w:u w:val="none"/>
                <w:lang w:val="en-US"/>
              </w:rPr>
              <w:t xml:space="preserve">Cultural Complex of </w:t>
            </w:r>
            <w:proofErr w:type="spellStart"/>
            <w:r w:rsidRPr="006D7FBA">
              <w:rPr>
                <w:u w:val="none"/>
                <w:lang w:val="en-US"/>
              </w:rPr>
              <w:t>Bumba</w:t>
            </w:r>
            <w:proofErr w:type="spellEnd"/>
            <w:r w:rsidRPr="006D7FBA">
              <w:rPr>
                <w:u w:val="none"/>
                <w:lang w:val="en-US"/>
              </w:rPr>
              <w:t>-meu-</w:t>
            </w:r>
            <w:proofErr w:type="spellStart"/>
            <w:r w:rsidRPr="006D7FBA">
              <w:rPr>
                <w:u w:val="none"/>
                <w:lang w:val="en-US"/>
              </w:rPr>
              <w:t>boi</w:t>
            </w:r>
            <w:proofErr w:type="spellEnd"/>
            <w:r w:rsidRPr="006D7FBA">
              <w:rPr>
                <w:u w:val="none"/>
                <w:lang w:val="en-US"/>
              </w:rPr>
              <w:t xml:space="preserve"> from </w:t>
            </w:r>
            <w:proofErr w:type="spellStart"/>
            <w:r w:rsidRPr="006D7FBA">
              <w:rPr>
                <w:u w:val="none"/>
                <w:lang w:val="en-US"/>
              </w:rPr>
              <w:t>Maranhão</w:t>
            </w:r>
            <w:proofErr w:type="spellEnd"/>
            <w:r w:rsidRPr="006D7FBA">
              <w:rPr>
                <w:u w:val="none"/>
                <w:lang w:val="en-US"/>
              </w:rPr>
              <w:t xml:space="preserve"> (01510)</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5D0A1A0" w14:textId="35E98DB4" w:rsidR="001639C1" w:rsidRPr="00162386" w:rsidRDefault="001639C1" w:rsidP="00162386">
            <w:pPr>
              <w:pStyle w:val="COMParaDecision"/>
              <w:numPr>
                <w:ilvl w:val="0"/>
                <w:numId w:val="0"/>
              </w:numPr>
              <w:spacing w:before="40" w:after="40"/>
              <w:jc w:val="left"/>
              <w:rPr>
                <w:u w:val="none"/>
              </w:rPr>
            </w:pPr>
            <w:r>
              <w:rPr>
                <w:u w:val="none"/>
              </w:rPr>
              <w:t>(0) un dossier pour 2018-2019</w:t>
            </w:r>
          </w:p>
        </w:tc>
      </w:tr>
      <w:tr w:rsidR="00EB650B" w:rsidRPr="00162386" w14:paraId="25417E18" w14:textId="77777777" w:rsidTr="006D7FBA">
        <w:tc>
          <w:tcPr>
            <w:tcW w:w="562" w:type="dxa"/>
            <w:shd w:val="clear" w:color="auto" w:fill="FFFFFF" w:themeFill="background1"/>
          </w:tcPr>
          <w:p w14:paraId="0FF71D38" w14:textId="4FB04FBA" w:rsidR="001639C1" w:rsidRPr="006D7FBA" w:rsidRDefault="001639C1" w:rsidP="00162386">
            <w:pPr>
              <w:pStyle w:val="COMParaDecision"/>
              <w:numPr>
                <w:ilvl w:val="0"/>
                <w:numId w:val="0"/>
              </w:numPr>
              <w:spacing w:before="40" w:after="40"/>
              <w:rPr>
                <w:u w:val="none"/>
              </w:rPr>
            </w:pPr>
            <w:r w:rsidRPr="006D7FBA">
              <w:rPr>
                <w:u w:val="none"/>
              </w:rPr>
              <w:t>5</w:t>
            </w:r>
          </w:p>
        </w:tc>
        <w:tc>
          <w:tcPr>
            <w:tcW w:w="2835" w:type="dxa"/>
            <w:tcBorders>
              <w:bottom w:val="nil"/>
              <w:right w:val="single" w:sz="4" w:space="0" w:color="auto"/>
            </w:tcBorders>
            <w:shd w:val="clear" w:color="auto" w:fill="FFFFFF" w:themeFill="background1"/>
          </w:tcPr>
          <w:p w14:paraId="1628A7B7" w14:textId="066ED5A5" w:rsidR="001639C1" w:rsidRPr="00162386" w:rsidRDefault="001639C1" w:rsidP="00162386">
            <w:pPr>
              <w:pStyle w:val="COMParaDecision"/>
              <w:numPr>
                <w:ilvl w:val="0"/>
                <w:numId w:val="0"/>
              </w:numPr>
              <w:spacing w:before="40" w:after="40"/>
              <w:jc w:val="left"/>
              <w:rPr>
                <w:u w:val="none"/>
              </w:rPr>
            </w:pPr>
            <w:r>
              <w:rPr>
                <w:u w:val="none"/>
              </w:rPr>
              <w:t>Bulgarie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0B6DE10" w14:textId="6506C8CC" w:rsidR="001639C1" w:rsidRPr="00162386" w:rsidRDefault="001639C1"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7271E9B2" w14:textId="50521A3E" w:rsidR="001639C1" w:rsidRPr="006D7FBA" w:rsidRDefault="001639C1" w:rsidP="00162386">
            <w:pPr>
              <w:pStyle w:val="COMParaDecision"/>
              <w:numPr>
                <w:ilvl w:val="0"/>
                <w:numId w:val="0"/>
              </w:numPr>
              <w:spacing w:before="40" w:after="40"/>
              <w:jc w:val="left"/>
              <w:rPr>
                <w:u w:val="none"/>
                <w:lang w:val="en-US"/>
              </w:rPr>
            </w:pPr>
            <w:proofErr w:type="spellStart"/>
            <w:r w:rsidRPr="006D7FBA">
              <w:rPr>
                <w:u w:val="none"/>
                <w:lang w:val="en-US"/>
              </w:rPr>
              <w:t>Nedelino</w:t>
            </w:r>
            <w:proofErr w:type="spellEnd"/>
            <w:r w:rsidRPr="006D7FBA">
              <w:rPr>
                <w:u w:val="none"/>
                <w:lang w:val="en-US"/>
              </w:rPr>
              <w:t xml:space="preserve"> two-part singing: an island with the monophonic sea of Rhodope songs (00966)</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71F425C" w14:textId="78C59815" w:rsidR="001639C1" w:rsidRPr="00162386" w:rsidRDefault="001639C1" w:rsidP="00162386">
            <w:pPr>
              <w:pStyle w:val="COMParaDecision"/>
              <w:numPr>
                <w:ilvl w:val="0"/>
                <w:numId w:val="0"/>
              </w:numPr>
              <w:spacing w:before="40" w:after="40"/>
              <w:jc w:val="left"/>
              <w:rPr>
                <w:u w:val="none"/>
              </w:rPr>
            </w:pPr>
            <w:r>
              <w:rPr>
                <w:u w:val="none"/>
              </w:rPr>
              <w:t>(0) un dossier pour 2018-2019</w:t>
            </w:r>
          </w:p>
        </w:tc>
      </w:tr>
      <w:tr w:rsidR="00EB650B" w:rsidRPr="00162386" w14:paraId="4264E88E" w14:textId="77777777" w:rsidTr="006D7FBA">
        <w:tc>
          <w:tcPr>
            <w:tcW w:w="562" w:type="dxa"/>
            <w:shd w:val="clear" w:color="auto" w:fill="FFFFFF" w:themeFill="background1"/>
          </w:tcPr>
          <w:p w14:paraId="1CC8B5A5" w14:textId="08CC0C13" w:rsidR="001639C1" w:rsidRPr="006D7FBA" w:rsidRDefault="001639C1" w:rsidP="00162386">
            <w:pPr>
              <w:pStyle w:val="COMParaDecision"/>
              <w:numPr>
                <w:ilvl w:val="0"/>
                <w:numId w:val="0"/>
              </w:numPr>
              <w:spacing w:before="40" w:after="40"/>
              <w:rPr>
                <w:u w:val="none"/>
              </w:rPr>
            </w:pPr>
            <w:r w:rsidRPr="006D7FBA">
              <w:rPr>
                <w:u w:val="none"/>
              </w:rPr>
              <w:t>6</w:t>
            </w:r>
          </w:p>
        </w:tc>
        <w:tc>
          <w:tcPr>
            <w:tcW w:w="2835" w:type="dxa"/>
            <w:tcBorders>
              <w:bottom w:val="nil"/>
              <w:right w:val="single" w:sz="4" w:space="0" w:color="auto"/>
            </w:tcBorders>
            <w:shd w:val="clear" w:color="auto" w:fill="FFFFFF" w:themeFill="background1"/>
          </w:tcPr>
          <w:p w14:paraId="5AED3F93" w14:textId="0057474B" w:rsidR="001639C1" w:rsidRPr="00162386" w:rsidRDefault="001639C1" w:rsidP="00162386">
            <w:pPr>
              <w:pStyle w:val="COMParaDecision"/>
              <w:numPr>
                <w:ilvl w:val="0"/>
                <w:numId w:val="0"/>
              </w:numPr>
              <w:spacing w:before="40" w:after="40"/>
              <w:jc w:val="left"/>
              <w:rPr>
                <w:u w:val="none"/>
              </w:rPr>
            </w:pPr>
            <w:r>
              <w:rPr>
                <w:u w:val="none"/>
              </w:rPr>
              <w:t>Burkina Faso</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AACD2ED" w14:textId="2D953A04" w:rsidR="001639C1" w:rsidRPr="00162386" w:rsidRDefault="001639C1" w:rsidP="00EB650B">
            <w:pPr>
              <w:pStyle w:val="COMParaDecision"/>
              <w:numPr>
                <w:ilvl w:val="0"/>
                <w:numId w:val="0"/>
              </w:numPr>
              <w:spacing w:before="40" w:after="40"/>
              <w:jc w:val="left"/>
              <w:rPr>
                <w:u w:val="none"/>
              </w:rPr>
            </w:pPr>
            <w:r>
              <w:rPr>
                <w:u w:val="none"/>
              </w:rPr>
              <w:t>AI</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3324B6D9" w14:textId="2EFEE7C7" w:rsidR="001639C1" w:rsidRPr="006D7FBA" w:rsidRDefault="001639C1" w:rsidP="00162386">
            <w:pPr>
              <w:pStyle w:val="COMParaDecision"/>
              <w:numPr>
                <w:ilvl w:val="0"/>
                <w:numId w:val="0"/>
              </w:numPr>
              <w:spacing w:before="40" w:after="40"/>
              <w:jc w:val="left"/>
              <w:rPr>
                <w:u w:val="none"/>
              </w:rPr>
            </w:pPr>
            <w:r w:rsidRPr="006D7FBA">
              <w:rPr>
                <w:u w:val="none"/>
              </w:rPr>
              <w:t>Le renforcement des capacités des acteurs intervenant dans la sauvegarde du patrimoine culturel immatériel au Burkina Faso (01501)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2877A20" w14:textId="040E7D36" w:rsidR="001639C1" w:rsidRPr="00162386" w:rsidRDefault="001639C1" w:rsidP="00162386">
            <w:pPr>
              <w:pStyle w:val="COMParaDecision"/>
              <w:numPr>
                <w:ilvl w:val="0"/>
                <w:numId w:val="0"/>
              </w:numPr>
              <w:spacing w:before="40" w:after="40"/>
              <w:jc w:val="left"/>
              <w:rPr>
                <w:u w:val="none"/>
              </w:rPr>
            </w:pPr>
            <w:r>
              <w:rPr>
                <w:u w:val="none"/>
              </w:rPr>
              <w:t>(0) un dossier pour 2018-2019</w:t>
            </w:r>
          </w:p>
        </w:tc>
      </w:tr>
      <w:tr w:rsidR="00EB650B" w:rsidRPr="00162386" w14:paraId="0919EE54" w14:textId="77777777" w:rsidTr="006D7FBA">
        <w:tc>
          <w:tcPr>
            <w:tcW w:w="562" w:type="dxa"/>
            <w:shd w:val="clear" w:color="auto" w:fill="FFFFFF" w:themeFill="background1"/>
          </w:tcPr>
          <w:p w14:paraId="37B1E4CE" w14:textId="566A94CB" w:rsidR="001639C1" w:rsidRPr="006D7FBA" w:rsidRDefault="001639C1" w:rsidP="00162386">
            <w:pPr>
              <w:pStyle w:val="COMParaDecision"/>
              <w:numPr>
                <w:ilvl w:val="0"/>
                <w:numId w:val="0"/>
              </w:numPr>
              <w:spacing w:before="40" w:after="40"/>
              <w:rPr>
                <w:u w:val="none"/>
              </w:rPr>
            </w:pPr>
            <w:r w:rsidRPr="006D7FBA">
              <w:rPr>
                <w:u w:val="none"/>
              </w:rPr>
              <w:t>7</w:t>
            </w:r>
          </w:p>
        </w:tc>
        <w:tc>
          <w:tcPr>
            <w:tcW w:w="2835" w:type="dxa"/>
            <w:tcBorders>
              <w:bottom w:val="nil"/>
              <w:right w:val="single" w:sz="4" w:space="0" w:color="auto"/>
            </w:tcBorders>
            <w:shd w:val="clear" w:color="auto" w:fill="FFFFFF" w:themeFill="background1"/>
          </w:tcPr>
          <w:p w14:paraId="3EA37393" w14:textId="503A0AC3" w:rsidR="001639C1" w:rsidRPr="00162386" w:rsidRDefault="001639C1" w:rsidP="00162386">
            <w:pPr>
              <w:pStyle w:val="COMParaDecision"/>
              <w:numPr>
                <w:ilvl w:val="0"/>
                <w:numId w:val="0"/>
              </w:numPr>
              <w:spacing w:before="40" w:after="40"/>
              <w:jc w:val="left"/>
              <w:rPr>
                <w:u w:val="none"/>
              </w:rPr>
            </w:pPr>
            <w:r>
              <w:rPr>
                <w:u w:val="none"/>
              </w:rPr>
              <w:t>Cabo Verde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F95A5D9" w14:textId="5DBBB08E" w:rsidR="001639C1" w:rsidRPr="00162386" w:rsidRDefault="001639C1"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4B082855" w14:textId="04713000" w:rsidR="001639C1" w:rsidRPr="006D7FBA" w:rsidRDefault="001639C1" w:rsidP="00162386">
            <w:pPr>
              <w:pStyle w:val="COMParaDecision"/>
              <w:numPr>
                <w:ilvl w:val="0"/>
                <w:numId w:val="0"/>
              </w:numPr>
              <w:spacing w:before="40" w:after="40"/>
              <w:jc w:val="left"/>
              <w:rPr>
                <w:u w:val="none"/>
                <w:lang w:val="en-US"/>
              </w:rPr>
            </w:pPr>
            <w:proofErr w:type="spellStart"/>
            <w:r w:rsidRPr="006D7FBA">
              <w:rPr>
                <w:u w:val="none"/>
                <w:lang w:val="en-US"/>
              </w:rPr>
              <w:t>Morna</w:t>
            </w:r>
            <w:proofErr w:type="spellEnd"/>
            <w:r w:rsidRPr="006D7FBA">
              <w:rPr>
                <w:u w:val="none"/>
                <w:lang w:val="en-US"/>
              </w:rPr>
              <w:t>, musical practice of Cabo Verde (01469)</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3002F0E" w14:textId="054B1F82" w:rsidR="001639C1" w:rsidRPr="00162386" w:rsidRDefault="001639C1" w:rsidP="00162386">
            <w:pPr>
              <w:pStyle w:val="COMParaDecision"/>
              <w:numPr>
                <w:ilvl w:val="0"/>
                <w:numId w:val="0"/>
              </w:numPr>
              <w:spacing w:before="40" w:after="40"/>
              <w:jc w:val="left"/>
              <w:rPr>
                <w:u w:val="none"/>
              </w:rPr>
            </w:pPr>
            <w:r>
              <w:rPr>
                <w:u w:val="none"/>
              </w:rPr>
              <w:t>(0) un dossier pour 2018-2019</w:t>
            </w:r>
          </w:p>
        </w:tc>
      </w:tr>
      <w:tr w:rsidR="00EB650B" w:rsidRPr="00162386" w14:paraId="27D254B0" w14:textId="77777777" w:rsidTr="006D7FBA">
        <w:tc>
          <w:tcPr>
            <w:tcW w:w="562" w:type="dxa"/>
            <w:shd w:val="clear" w:color="auto" w:fill="FFFFFF" w:themeFill="background1"/>
          </w:tcPr>
          <w:p w14:paraId="7F792B1B" w14:textId="3CC4E226" w:rsidR="001639C1" w:rsidRPr="006D7FBA" w:rsidRDefault="001639C1" w:rsidP="00162386">
            <w:pPr>
              <w:pStyle w:val="COMParaDecision"/>
              <w:numPr>
                <w:ilvl w:val="0"/>
                <w:numId w:val="0"/>
              </w:numPr>
              <w:spacing w:before="40" w:after="40"/>
              <w:rPr>
                <w:u w:val="none"/>
              </w:rPr>
            </w:pPr>
            <w:r w:rsidRPr="006D7FBA">
              <w:rPr>
                <w:u w:val="none"/>
              </w:rPr>
              <w:t>8</w:t>
            </w:r>
          </w:p>
        </w:tc>
        <w:tc>
          <w:tcPr>
            <w:tcW w:w="2835" w:type="dxa"/>
            <w:tcBorders>
              <w:bottom w:val="nil"/>
              <w:right w:val="single" w:sz="4" w:space="0" w:color="auto"/>
            </w:tcBorders>
            <w:shd w:val="clear" w:color="auto" w:fill="FFFFFF" w:themeFill="background1"/>
          </w:tcPr>
          <w:p w14:paraId="6677A6D0" w14:textId="508E36B5" w:rsidR="001639C1" w:rsidRPr="00162386" w:rsidRDefault="001639C1" w:rsidP="00162386">
            <w:pPr>
              <w:pStyle w:val="COMParaDecision"/>
              <w:numPr>
                <w:ilvl w:val="0"/>
                <w:numId w:val="0"/>
              </w:numPr>
              <w:spacing w:before="40" w:after="40"/>
              <w:jc w:val="left"/>
              <w:rPr>
                <w:u w:val="none"/>
              </w:rPr>
            </w:pPr>
            <w:r>
              <w:rPr>
                <w:u w:val="none"/>
              </w:rPr>
              <w:t>Colombie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7476B15" w14:textId="695A469E" w:rsidR="001639C1" w:rsidRPr="00162386" w:rsidRDefault="008F7D2B" w:rsidP="00162386">
            <w:pPr>
              <w:pStyle w:val="COMParaDecision"/>
              <w:numPr>
                <w:ilvl w:val="0"/>
                <w:numId w:val="0"/>
              </w:numPr>
              <w:spacing w:before="40" w:after="40"/>
              <w:jc w:val="left"/>
              <w:rPr>
                <w:u w:val="none"/>
              </w:rPr>
            </w:pPr>
            <w:r>
              <w:rPr>
                <w:u w:val="none"/>
              </w:rPr>
              <w:t>B</w:t>
            </w:r>
            <w:r w:rsidR="001639C1">
              <w:rPr>
                <w:u w:val="none"/>
              </w:rPr>
              <w:t>PS</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29E3BF39" w14:textId="6D8A6662" w:rsidR="001639C1" w:rsidRPr="006D7FBA" w:rsidRDefault="001639C1" w:rsidP="00162386">
            <w:pPr>
              <w:pStyle w:val="COMParaDecision"/>
              <w:numPr>
                <w:ilvl w:val="0"/>
                <w:numId w:val="0"/>
              </w:numPr>
              <w:spacing w:before="40" w:after="40"/>
              <w:jc w:val="left"/>
              <w:rPr>
                <w:u w:val="none"/>
                <w:lang w:val="en-US"/>
              </w:rPr>
            </w:pPr>
            <w:r w:rsidRPr="006D7FBA">
              <w:rPr>
                <w:u w:val="none"/>
                <w:lang w:val="en-US"/>
              </w:rPr>
              <w:t>Safeguarding strategy of traditional crafts and peace building (01480)</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12BC932" w14:textId="7186A4ED" w:rsidR="001639C1" w:rsidRPr="00162386" w:rsidRDefault="001639C1" w:rsidP="00162386">
            <w:pPr>
              <w:pStyle w:val="COMParaDecision"/>
              <w:numPr>
                <w:ilvl w:val="0"/>
                <w:numId w:val="0"/>
              </w:numPr>
              <w:spacing w:before="40" w:after="40"/>
              <w:jc w:val="left"/>
              <w:rPr>
                <w:u w:val="none"/>
              </w:rPr>
            </w:pPr>
            <w:r>
              <w:rPr>
                <w:u w:val="none"/>
              </w:rPr>
              <w:t>(0) un dossier pour 2018-2019</w:t>
            </w:r>
          </w:p>
        </w:tc>
      </w:tr>
      <w:tr w:rsidR="00EB650B" w:rsidRPr="00162386" w14:paraId="73C6BB93" w14:textId="77777777" w:rsidTr="006D7FBA">
        <w:tc>
          <w:tcPr>
            <w:tcW w:w="562" w:type="dxa"/>
            <w:shd w:val="clear" w:color="auto" w:fill="FFFFFF" w:themeFill="background1"/>
          </w:tcPr>
          <w:p w14:paraId="37F0AB64" w14:textId="5C86433D" w:rsidR="001639C1" w:rsidRPr="006D7FBA" w:rsidRDefault="001639C1" w:rsidP="00162386">
            <w:pPr>
              <w:pStyle w:val="COMParaDecision"/>
              <w:numPr>
                <w:ilvl w:val="0"/>
                <w:numId w:val="0"/>
              </w:numPr>
              <w:spacing w:before="40" w:after="40"/>
              <w:rPr>
                <w:u w:val="none"/>
              </w:rPr>
            </w:pPr>
            <w:r w:rsidRPr="006D7FBA">
              <w:rPr>
                <w:u w:val="none"/>
              </w:rPr>
              <w:t>9</w:t>
            </w:r>
          </w:p>
        </w:tc>
        <w:tc>
          <w:tcPr>
            <w:tcW w:w="2835" w:type="dxa"/>
            <w:tcBorders>
              <w:bottom w:val="nil"/>
              <w:right w:val="single" w:sz="4" w:space="0" w:color="auto"/>
            </w:tcBorders>
            <w:shd w:val="clear" w:color="auto" w:fill="FFFFFF" w:themeFill="background1"/>
          </w:tcPr>
          <w:p w14:paraId="26EBF34C" w14:textId="4AD6398B" w:rsidR="001639C1" w:rsidRPr="00162386" w:rsidRDefault="001639C1" w:rsidP="00162386">
            <w:pPr>
              <w:pStyle w:val="COMParaDecision"/>
              <w:numPr>
                <w:ilvl w:val="0"/>
                <w:numId w:val="0"/>
              </w:numPr>
              <w:spacing w:before="40" w:after="40"/>
              <w:jc w:val="left"/>
              <w:rPr>
                <w:u w:val="none"/>
              </w:rPr>
            </w:pPr>
            <w:r>
              <w:rPr>
                <w:u w:val="none"/>
              </w:rPr>
              <w:t>Congo</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4E16787" w14:textId="176A6D27" w:rsidR="001639C1" w:rsidRPr="00162386" w:rsidRDefault="001639C1"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164D735F" w14:textId="68EA3AF8" w:rsidR="001639C1" w:rsidRPr="006D7FBA" w:rsidRDefault="001639C1" w:rsidP="00162386">
            <w:pPr>
              <w:pStyle w:val="COMParaDecision"/>
              <w:numPr>
                <w:ilvl w:val="0"/>
                <w:numId w:val="0"/>
              </w:numPr>
              <w:spacing w:before="40" w:after="40"/>
              <w:jc w:val="left"/>
              <w:rPr>
                <w:u w:val="none"/>
              </w:rPr>
            </w:pPr>
            <w:r w:rsidRPr="006D7FBA">
              <w:rPr>
                <w:u w:val="none"/>
              </w:rPr>
              <w:t>Le football traditionnel et ses valeurs (01493)</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44FC85F" w14:textId="7CE53912" w:rsidR="001639C1" w:rsidRPr="00162386" w:rsidRDefault="001639C1" w:rsidP="00162386">
            <w:pPr>
              <w:pStyle w:val="COMParaDecision"/>
              <w:numPr>
                <w:ilvl w:val="0"/>
                <w:numId w:val="0"/>
              </w:numPr>
              <w:spacing w:before="40" w:after="40"/>
              <w:jc w:val="left"/>
              <w:rPr>
                <w:u w:val="none"/>
              </w:rPr>
            </w:pPr>
            <w:r>
              <w:rPr>
                <w:u w:val="none"/>
              </w:rPr>
              <w:t>(0) un dossier pour 2018-2019</w:t>
            </w:r>
          </w:p>
        </w:tc>
      </w:tr>
      <w:tr w:rsidR="00EB650B" w:rsidRPr="00162386" w14:paraId="7CAD8B0A" w14:textId="77777777" w:rsidTr="006D7FBA">
        <w:tc>
          <w:tcPr>
            <w:tcW w:w="562" w:type="dxa"/>
            <w:shd w:val="clear" w:color="auto" w:fill="FFFFFF" w:themeFill="background1"/>
          </w:tcPr>
          <w:p w14:paraId="58FBE2EE" w14:textId="7081B23E" w:rsidR="001639C1" w:rsidRPr="006D7FBA" w:rsidRDefault="001639C1" w:rsidP="00162386">
            <w:pPr>
              <w:pStyle w:val="COMParaDecision"/>
              <w:numPr>
                <w:ilvl w:val="0"/>
                <w:numId w:val="0"/>
              </w:numPr>
              <w:spacing w:before="40" w:after="40"/>
              <w:rPr>
                <w:u w:val="none"/>
              </w:rPr>
            </w:pPr>
            <w:r w:rsidRPr="006D7FBA">
              <w:rPr>
                <w:u w:val="none"/>
              </w:rPr>
              <w:t>10</w:t>
            </w:r>
          </w:p>
        </w:tc>
        <w:tc>
          <w:tcPr>
            <w:tcW w:w="2835" w:type="dxa"/>
            <w:tcBorders>
              <w:bottom w:val="nil"/>
              <w:right w:val="single" w:sz="4" w:space="0" w:color="auto"/>
            </w:tcBorders>
            <w:shd w:val="clear" w:color="auto" w:fill="FFFFFF" w:themeFill="background1"/>
          </w:tcPr>
          <w:p w14:paraId="523DA651" w14:textId="63C356F1" w:rsidR="001639C1" w:rsidRPr="00162386" w:rsidRDefault="001639C1" w:rsidP="00162386">
            <w:pPr>
              <w:pStyle w:val="COMParaDecision"/>
              <w:numPr>
                <w:ilvl w:val="0"/>
                <w:numId w:val="0"/>
              </w:numPr>
              <w:spacing w:before="40" w:after="40"/>
              <w:jc w:val="left"/>
              <w:rPr>
                <w:u w:val="none"/>
              </w:rPr>
            </w:pPr>
            <w:r>
              <w:rPr>
                <w:u w:val="none"/>
              </w:rPr>
              <w:t>République dominicaine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22253CF" w14:textId="57EB3AC9" w:rsidR="001639C1" w:rsidRPr="00162386" w:rsidRDefault="001639C1"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19F5F2A2" w14:textId="763B05AF" w:rsidR="001639C1" w:rsidRPr="006D7FBA" w:rsidRDefault="001639C1" w:rsidP="00162386">
            <w:pPr>
              <w:pStyle w:val="COMParaDecision"/>
              <w:numPr>
                <w:ilvl w:val="0"/>
                <w:numId w:val="0"/>
              </w:numPr>
              <w:spacing w:before="40" w:after="40"/>
              <w:jc w:val="left"/>
              <w:rPr>
                <w:u w:val="none"/>
                <w:lang w:val="en-US"/>
              </w:rPr>
            </w:pPr>
            <w:r w:rsidRPr="006D7FBA">
              <w:rPr>
                <w:u w:val="none"/>
                <w:lang w:val="en-US"/>
              </w:rPr>
              <w:t>Music and dance of Dominican Bachata (01514)</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B6A00CE" w14:textId="51561484" w:rsidR="001639C1" w:rsidRPr="00162386" w:rsidRDefault="001639C1" w:rsidP="00162386">
            <w:pPr>
              <w:pStyle w:val="COMParaDecision"/>
              <w:numPr>
                <w:ilvl w:val="0"/>
                <w:numId w:val="0"/>
              </w:numPr>
              <w:spacing w:before="40" w:after="40"/>
              <w:jc w:val="left"/>
              <w:rPr>
                <w:u w:val="none"/>
              </w:rPr>
            </w:pPr>
            <w:r>
              <w:rPr>
                <w:u w:val="none"/>
              </w:rPr>
              <w:t>(0) un dossier pour 2018-2019</w:t>
            </w:r>
          </w:p>
        </w:tc>
      </w:tr>
      <w:tr w:rsidR="00EB650B" w:rsidRPr="00162386" w14:paraId="57C356D6" w14:textId="77777777" w:rsidTr="006D7FBA">
        <w:tc>
          <w:tcPr>
            <w:tcW w:w="562" w:type="dxa"/>
            <w:shd w:val="clear" w:color="auto" w:fill="FFFFFF" w:themeFill="background1"/>
          </w:tcPr>
          <w:p w14:paraId="3021017F" w14:textId="0162670F" w:rsidR="001639C1" w:rsidRPr="006D7FBA" w:rsidRDefault="001639C1" w:rsidP="00162386">
            <w:pPr>
              <w:pStyle w:val="COMParaDecision"/>
              <w:numPr>
                <w:ilvl w:val="0"/>
                <w:numId w:val="0"/>
              </w:numPr>
              <w:spacing w:before="40" w:after="40"/>
              <w:rPr>
                <w:u w:val="none"/>
              </w:rPr>
            </w:pPr>
            <w:r w:rsidRPr="006D7FBA">
              <w:rPr>
                <w:u w:val="none"/>
              </w:rPr>
              <w:t>11</w:t>
            </w:r>
          </w:p>
        </w:tc>
        <w:tc>
          <w:tcPr>
            <w:tcW w:w="2835" w:type="dxa"/>
            <w:tcBorders>
              <w:bottom w:val="nil"/>
              <w:right w:val="single" w:sz="4" w:space="0" w:color="auto"/>
            </w:tcBorders>
            <w:shd w:val="clear" w:color="auto" w:fill="FFFFFF" w:themeFill="background1"/>
          </w:tcPr>
          <w:p w14:paraId="7D43312F" w14:textId="0E52F827" w:rsidR="001639C1" w:rsidRPr="00162386" w:rsidRDefault="001639C1" w:rsidP="00162386">
            <w:pPr>
              <w:pStyle w:val="COMParaDecision"/>
              <w:numPr>
                <w:ilvl w:val="0"/>
                <w:numId w:val="0"/>
              </w:numPr>
              <w:spacing w:before="40" w:after="40"/>
              <w:jc w:val="left"/>
              <w:rPr>
                <w:u w:val="none"/>
              </w:rPr>
            </w:pPr>
            <w:r>
              <w:rPr>
                <w:u w:val="none"/>
              </w:rPr>
              <w:t>Éthiopie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5C2E64B" w14:textId="2006A0F3" w:rsidR="001639C1" w:rsidRPr="00162386" w:rsidRDefault="001639C1"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7109756E" w14:textId="39594745" w:rsidR="001639C1" w:rsidRPr="006D7FBA" w:rsidRDefault="001639C1" w:rsidP="00162386">
            <w:pPr>
              <w:pStyle w:val="COMParaDecision"/>
              <w:numPr>
                <w:ilvl w:val="0"/>
                <w:numId w:val="0"/>
              </w:numPr>
              <w:spacing w:before="40" w:after="40"/>
              <w:jc w:val="left"/>
              <w:rPr>
                <w:u w:val="none"/>
              </w:rPr>
            </w:pPr>
            <w:proofErr w:type="spellStart"/>
            <w:r w:rsidRPr="006D7FBA">
              <w:rPr>
                <w:u w:val="none"/>
              </w:rPr>
              <w:t>Ethiopian</w:t>
            </w:r>
            <w:proofErr w:type="spellEnd"/>
            <w:r w:rsidRPr="006D7FBA">
              <w:rPr>
                <w:u w:val="none"/>
              </w:rPr>
              <w:t xml:space="preserve"> </w:t>
            </w:r>
            <w:proofErr w:type="spellStart"/>
            <w:r w:rsidRPr="006D7FBA">
              <w:rPr>
                <w:u w:val="none"/>
              </w:rPr>
              <w:t>epiphany</w:t>
            </w:r>
            <w:proofErr w:type="spellEnd"/>
            <w:r w:rsidRPr="006D7FBA">
              <w:rPr>
                <w:u w:val="none"/>
              </w:rPr>
              <w:t xml:space="preserve"> (01491)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2EAE0EB" w14:textId="310FF65D" w:rsidR="001639C1" w:rsidRPr="00162386" w:rsidRDefault="001639C1" w:rsidP="00162386">
            <w:pPr>
              <w:pStyle w:val="COMParaDecision"/>
              <w:numPr>
                <w:ilvl w:val="0"/>
                <w:numId w:val="0"/>
              </w:numPr>
              <w:spacing w:before="40" w:after="40"/>
              <w:jc w:val="left"/>
              <w:rPr>
                <w:u w:val="none"/>
              </w:rPr>
            </w:pPr>
            <w:r>
              <w:rPr>
                <w:u w:val="none"/>
              </w:rPr>
              <w:t>(0) un dossier pour 2018-2019</w:t>
            </w:r>
          </w:p>
        </w:tc>
      </w:tr>
      <w:tr w:rsidR="00EB650B" w:rsidRPr="00162386" w14:paraId="24C583B0" w14:textId="77777777" w:rsidTr="006D7FBA">
        <w:tc>
          <w:tcPr>
            <w:tcW w:w="562" w:type="dxa"/>
            <w:shd w:val="clear" w:color="auto" w:fill="FFFFFF" w:themeFill="background1"/>
          </w:tcPr>
          <w:p w14:paraId="11DFE6C6" w14:textId="586F2227" w:rsidR="001639C1" w:rsidRPr="006D7FBA" w:rsidRDefault="001639C1" w:rsidP="00162386">
            <w:pPr>
              <w:pStyle w:val="COMParaDecision"/>
              <w:numPr>
                <w:ilvl w:val="0"/>
                <w:numId w:val="0"/>
              </w:numPr>
              <w:spacing w:before="40" w:after="40"/>
              <w:rPr>
                <w:u w:val="none"/>
              </w:rPr>
            </w:pPr>
            <w:r w:rsidRPr="006D7FBA">
              <w:rPr>
                <w:u w:val="none"/>
              </w:rPr>
              <w:t>12</w:t>
            </w:r>
          </w:p>
        </w:tc>
        <w:tc>
          <w:tcPr>
            <w:tcW w:w="2835" w:type="dxa"/>
            <w:tcBorders>
              <w:bottom w:val="nil"/>
              <w:right w:val="single" w:sz="4" w:space="0" w:color="auto"/>
            </w:tcBorders>
            <w:shd w:val="clear" w:color="auto" w:fill="FFFFFF" w:themeFill="background1"/>
          </w:tcPr>
          <w:p w14:paraId="55A4FF16" w14:textId="297FEA00" w:rsidR="001639C1" w:rsidRPr="00162386" w:rsidRDefault="001639C1" w:rsidP="00162386">
            <w:pPr>
              <w:pStyle w:val="COMParaDecision"/>
              <w:numPr>
                <w:ilvl w:val="0"/>
                <w:numId w:val="0"/>
              </w:numPr>
              <w:spacing w:before="40" w:after="40"/>
              <w:jc w:val="left"/>
              <w:rPr>
                <w:u w:val="none"/>
              </w:rPr>
            </w:pPr>
            <w:r>
              <w:rPr>
                <w:u w:val="none"/>
              </w:rPr>
              <w:t>Inde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5DAE1EF" w14:textId="2B40C98F" w:rsidR="001639C1" w:rsidRPr="00162386" w:rsidRDefault="001639C1"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291A59BA" w14:textId="6F813855" w:rsidR="001639C1" w:rsidRPr="006D7FBA" w:rsidRDefault="001639C1" w:rsidP="00162386">
            <w:pPr>
              <w:pStyle w:val="COMParaDecision"/>
              <w:numPr>
                <w:ilvl w:val="0"/>
                <w:numId w:val="0"/>
              </w:numPr>
              <w:spacing w:before="40" w:after="40"/>
              <w:jc w:val="left"/>
              <w:rPr>
                <w:u w:val="none"/>
                <w:lang w:val="en-US"/>
              </w:rPr>
            </w:pPr>
            <w:r w:rsidRPr="006D7FBA">
              <w:rPr>
                <w:u w:val="none"/>
                <w:lang w:val="en-US"/>
              </w:rPr>
              <w:t>Sowa-</w:t>
            </w:r>
            <w:proofErr w:type="spellStart"/>
            <w:r w:rsidRPr="006D7FBA">
              <w:rPr>
                <w:u w:val="none"/>
                <w:lang w:val="en-US"/>
              </w:rPr>
              <w:t>Rigpa</w:t>
            </w:r>
            <w:proofErr w:type="spellEnd"/>
            <w:r w:rsidRPr="006D7FBA">
              <w:rPr>
                <w:u w:val="none"/>
                <w:lang w:val="en-US"/>
              </w:rPr>
              <w:t>, knowledge of healing or science of healing (01358)</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2F10E7B" w14:textId="4B5AF65C" w:rsidR="001639C1" w:rsidRPr="00162386" w:rsidRDefault="001639C1" w:rsidP="00162386">
            <w:pPr>
              <w:pStyle w:val="COMParaDecision"/>
              <w:numPr>
                <w:ilvl w:val="0"/>
                <w:numId w:val="0"/>
              </w:numPr>
              <w:spacing w:before="40" w:after="40"/>
              <w:jc w:val="left"/>
              <w:rPr>
                <w:u w:val="none"/>
              </w:rPr>
            </w:pPr>
            <w:r>
              <w:rPr>
                <w:u w:val="none"/>
              </w:rPr>
              <w:t>(0) un dossier pour 2018-2019</w:t>
            </w:r>
          </w:p>
        </w:tc>
      </w:tr>
      <w:tr w:rsidR="00EB650B" w:rsidRPr="00162386" w14:paraId="5F884910" w14:textId="77777777" w:rsidTr="006D7FBA">
        <w:tc>
          <w:tcPr>
            <w:tcW w:w="562" w:type="dxa"/>
            <w:shd w:val="clear" w:color="auto" w:fill="FFFFFF" w:themeFill="background1"/>
          </w:tcPr>
          <w:p w14:paraId="7CF06207" w14:textId="50491C95" w:rsidR="001639C1" w:rsidRPr="006D7FBA" w:rsidRDefault="001639C1" w:rsidP="00162386">
            <w:pPr>
              <w:pStyle w:val="COMParaDecision"/>
              <w:numPr>
                <w:ilvl w:val="0"/>
                <w:numId w:val="0"/>
              </w:numPr>
              <w:spacing w:before="40" w:after="40"/>
              <w:rPr>
                <w:u w:val="none"/>
              </w:rPr>
            </w:pPr>
            <w:r w:rsidRPr="006D7FBA">
              <w:rPr>
                <w:u w:val="none"/>
              </w:rPr>
              <w:t>13</w:t>
            </w:r>
          </w:p>
        </w:tc>
        <w:tc>
          <w:tcPr>
            <w:tcW w:w="2835" w:type="dxa"/>
            <w:tcBorders>
              <w:bottom w:val="nil"/>
              <w:right w:val="single" w:sz="4" w:space="0" w:color="auto"/>
            </w:tcBorders>
            <w:shd w:val="clear" w:color="auto" w:fill="FFFFFF" w:themeFill="background1"/>
          </w:tcPr>
          <w:p w14:paraId="2CEDB056" w14:textId="17369FDB" w:rsidR="001639C1" w:rsidRPr="00162386" w:rsidRDefault="001639C1" w:rsidP="00162386">
            <w:pPr>
              <w:pStyle w:val="COMParaDecision"/>
              <w:numPr>
                <w:ilvl w:val="0"/>
                <w:numId w:val="0"/>
              </w:numPr>
              <w:spacing w:before="40" w:after="40"/>
              <w:jc w:val="left"/>
              <w:rPr>
                <w:u w:val="none"/>
              </w:rPr>
            </w:pPr>
            <w:r>
              <w:rPr>
                <w:u w:val="none"/>
              </w:rPr>
              <w:t>Indonésie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592AE95" w14:textId="259F6509" w:rsidR="001639C1" w:rsidRPr="00162386" w:rsidRDefault="001639C1"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57404DB7" w14:textId="6EF3C0E4" w:rsidR="001639C1" w:rsidRPr="006D7FBA" w:rsidRDefault="001639C1" w:rsidP="00162386">
            <w:pPr>
              <w:pStyle w:val="COMParaDecision"/>
              <w:numPr>
                <w:ilvl w:val="0"/>
                <w:numId w:val="0"/>
              </w:numPr>
              <w:spacing w:before="40" w:after="40"/>
              <w:jc w:val="left"/>
              <w:rPr>
                <w:u w:val="none"/>
              </w:rPr>
            </w:pPr>
            <w:r w:rsidRPr="006D7FBA">
              <w:rPr>
                <w:u w:val="none"/>
              </w:rPr>
              <w:t xml:space="preserve">Traditions of </w:t>
            </w:r>
            <w:proofErr w:type="spellStart"/>
            <w:r w:rsidRPr="006D7FBA">
              <w:rPr>
                <w:u w:val="none"/>
              </w:rPr>
              <w:t>Pencak</w:t>
            </w:r>
            <w:proofErr w:type="spellEnd"/>
            <w:r w:rsidRPr="006D7FBA">
              <w:rPr>
                <w:u w:val="none"/>
              </w:rPr>
              <w:t xml:space="preserve"> </w:t>
            </w:r>
            <w:proofErr w:type="spellStart"/>
            <w:r w:rsidRPr="006D7FBA">
              <w:rPr>
                <w:u w:val="none"/>
              </w:rPr>
              <w:t>Silat</w:t>
            </w:r>
            <w:proofErr w:type="spellEnd"/>
            <w:r w:rsidRPr="006D7FBA">
              <w:rPr>
                <w:u w:val="none"/>
              </w:rPr>
              <w:t xml:space="preserve"> (01391)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8F2392D" w14:textId="183BD4A1" w:rsidR="001639C1" w:rsidRPr="00162386" w:rsidRDefault="001639C1" w:rsidP="00162386">
            <w:pPr>
              <w:pStyle w:val="COMParaDecision"/>
              <w:numPr>
                <w:ilvl w:val="0"/>
                <w:numId w:val="0"/>
              </w:numPr>
              <w:spacing w:before="40" w:after="40"/>
              <w:jc w:val="left"/>
              <w:rPr>
                <w:u w:val="none"/>
              </w:rPr>
            </w:pPr>
            <w:r>
              <w:rPr>
                <w:u w:val="none"/>
              </w:rPr>
              <w:t>(0) un dossier pour 2018-2019</w:t>
            </w:r>
          </w:p>
        </w:tc>
      </w:tr>
      <w:tr w:rsidR="00EB650B" w:rsidRPr="00162386" w14:paraId="7A931A98" w14:textId="77777777" w:rsidTr="006D7FBA">
        <w:tc>
          <w:tcPr>
            <w:tcW w:w="562" w:type="dxa"/>
            <w:shd w:val="clear" w:color="auto" w:fill="FFFFFF" w:themeFill="background1"/>
          </w:tcPr>
          <w:p w14:paraId="1EB71828" w14:textId="4EC5A0B4" w:rsidR="001639C1" w:rsidRPr="006D7FBA" w:rsidRDefault="001639C1" w:rsidP="00162386">
            <w:pPr>
              <w:pStyle w:val="COMParaDecision"/>
              <w:numPr>
                <w:ilvl w:val="0"/>
                <w:numId w:val="0"/>
              </w:numPr>
              <w:spacing w:before="40" w:after="40"/>
              <w:rPr>
                <w:u w:val="none"/>
              </w:rPr>
            </w:pPr>
            <w:r w:rsidRPr="006D7FBA">
              <w:rPr>
                <w:u w:val="none"/>
              </w:rPr>
              <w:t>14</w:t>
            </w:r>
          </w:p>
        </w:tc>
        <w:tc>
          <w:tcPr>
            <w:tcW w:w="2835" w:type="dxa"/>
            <w:tcBorders>
              <w:bottom w:val="nil"/>
              <w:right w:val="single" w:sz="4" w:space="0" w:color="auto"/>
            </w:tcBorders>
            <w:shd w:val="clear" w:color="auto" w:fill="FFFFFF" w:themeFill="background1"/>
          </w:tcPr>
          <w:p w14:paraId="71266BE1" w14:textId="47540BDE" w:rsidR="001639C1" w:rsidRPr="00162386" w:rsidRDefault="001639C1" w:rsidP="00162386">
            <w:pPr>
              <w:pStyle w:val="COMParaDecision"/>
              <w:numPr>
                <w:ilvl w:val="0"/>
                <w:numId w:val="0"/>
              </w:numPr>
              <w:spacing w:before="40" w:after="40"/>
              <w:jc w:val="left"/>
              <w:rPr>
                <w:u w:val="none"/>
              </w:rPr>
            </w:pPr>
            <w:r>
              <w:rPr>
                <w:u w:val="none"/>
              </w:rPr>
              <w:t>Iran (République islamique d</w:t>
            </w:r>
            <w:r w:rsidR="0075127A">
              <w:rPr>
                <w:u w:val="none"/>
              </w:rPr>
              <w:t>’</w:t>
            </w:r>
            <w:r>
              <w:rPr>
                <w:u w:val="none"/>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A057D2A" w14:textId="3AF80246" w:rsidR="001639C1" w:rsidRPr="00162386" w:rsidRDefault="001639C1"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6F9F99C8" w14:textId="577C1ADC" w:rsidR="001639C1" w:rsidRPr="006D7FBA" w:rsidRDefault="001639C1" w:rsidP="00162386">
            <w:pPr>
              <w:pStyle w:val="COMParaDecision"/>
              <w:numPr>
                <w:ilvl w:val="0"/>
                <w:numId w:val="0"/>
              </w:numPr>
              <w:spacing w:before="40" w:after="40"/>
              <w:jc w:val="left"/>
              <w:rPr>
                <w:u w:val="none"/>
                <w:lang w:val="en-US"/>
              </w:rPr>
            </w:pPr>
            <w:r w:rsidRPr="006D7FBA">
              <w:rPr>
                <w:u w:val="none"/>
                <w:lang w:val="en-US"/>
              </w:rPr>
              <w:t xml:space="preserve">Traditional skills of crafting and playing </w:t>
            </w:r>
            <w:proofErr w:type="spellStart"/>
            <w:r w:rsidRPr="006D7FBA">
              <w:rPr>
                <w:u w:val="none"/>
                <w:lang w:val="en-US"/>
              </w:rPr>
              <w:t>Dotār</w:t>
            </w:r>
            <w:proofErr w:type="spellEnd"/>
            <w:r w:rsidRPr="006D7FBA">
              <w:rPr>
                <w:u w:val="none"/>
                <w:lang w:val="en-US"/>
              </w:rPr>
              <w:t xml:space="preserve"> (01492)</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8DB9294" w14:textId="4F1F452F" w:rsidR="001639C1" w:rsidRPr="00162386" w:rsidRDefault="001639C1" w:rsidP="00162386">
            <w:pPr>
              <w:pStyle w:val="COMParaDecision"/>
              <w:numPr>
                <w:ilvl w:val="0"/>
                <w:numId w:val="0"/>
              </w:numPr>
              <w:spacing w:before="40" w:after="40"/>
              <w:jc w:val="left"/>
              <w:rPr>
                <w:u w:val="none"/>
              </w:rPr>
            </w:pPr>
            <w:r>
              <w:rPr>
                <w:u w:val="none"/>
              </w:rPr>
              <w:t>(0) un dossier pour 2018-2019</w:t>
            </w:r>
          </w:p>
        </w:tc>
      </w:tr>
      <w:tr w:rsidR="00EB650B" w:rsidRPr="00162386" w14:paraId="45EF54AC" w14:textId="77777777" w:rsidTr="006D7FBA">
        <w:tc>
          <w:tcPr>
            <w:tcW w:w="562" w:type="dxa"/>
            <w:shd w:val="clear" w:color="auto" w:fill="FFFFFF" w:themeFill="background1"/>
          </w:tcPr>
          <w:p w14:paraId="749754D9" w14:textId="3203AAFB" w:rsidR="001639C1" w:rsidRPr="006D7FBA" w:rsidRDefault="001639C1" w:rsidP="00162386">
            <w:pPr>
              <w:pStyle w:val="COMParaDecision"/>
              <w:numPr>
                <w:ilvl w:val="0"/>
                <w:numId w:val="0"/>
              </w:numPr>
              <w:spacing w:before="40" w:after="40"/>
              <w:rPr>
                <w:u w:val="none"/>
              </w:rPr>
            </w:pPr>
            <w:r w:rsidRPr="006D7FBA">
              <w:rPr>
                <w:u w:val="none"/>
              </w:rPr>
              <w:t>15</w:t>
            </w:r>
          </w:p>
        </w:tc>
        <w:tc>
          <w:tcPr>
            <w:tcW w:w="2835" w:type="dxa"/>
            <w:tcBorders>
              <w:bottom w:val="nil"/>
              <w:right w:val="single" w:sz="4" w:space="0" w:color="auto"/>
            </w:tcBorders>
            <w:shd w:val="clear" w:color="auto" w:fill="FFFFFF" w:themeFill="background1"/>
          </w:tcPr>
          <w:p w14:paraId="6C9EFC25" w14:textId="4F0CB984" w:rsidR="001639C1" w:rsidRPr="00162386" w:rsidRDefault="001639C1" w:rsidP="00162386">
            <w:pPr>
              <w:pStyle w:val="COMParaDecision"/>
              <w:numPr>
                <w:ilvl w:val="0"/>
                <w:numId w:val="0"/>
              </w:numPr>
              <w:spacing w:before="40" w:after="40"/>
              <w:jc w:val="left"/>
              <w:rPr>
                <w:u w:val="none"/>
              </w:rPr>
            </w:pPr>
            <w:r>
              <w:rPr>
                <w:u w:val="none"/>
              </w:rPr>
              <w:t>Iraq</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A3C0643" w14:textId="3635EBFF" w:rsidR="001639C1" w:rsidRPr="00162386" w:rsidRDefault="001639C1"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5BC904B1" w14:textId="7E580FC6" w:rsidR="001639C1" w:rsidRPr="006D7FBA" w:rsidRDefault="001639C1" w:rsidP="00162386">
            <w:pPr>
              <w:pStyle w:val="COMParaDecision"/>
              <w:numPr>
                <w:ilvl w:val="0"/>
                <w:numId w:val="0"/>
              </w:numPr>
              <w:spacing w:before="40" w:after="40"/>
              <w:jc w:val="left"/>
              <w:rPr>
                <w:u w:val="none"/>
                <w:lang w:val="en-US"/>
              </w:rPr>
            </w:pPr>
            <w:r w:rsidRPr="006D7FBA">
              <w:rPr>
                <w:u w:val="none"/>
                <w:lang w:val="en-US"/>
              </w:rPr>
              <w:t xml:space="preserve">Provision of services and hospitality during the </w:t>
            </w:r>
            <w:proofErr w:type="spellStart"/>
            <w:r w:rsidRPr="006D7FBA">
              <w:rPr>
                <w:u w:val="none"/>
                <w:lang w:val="en-US"/>
              </w:rPr>
              <w:t>Arba</w:t>
            </w:r>
            <w:r w:rsidR="0075127A" w:rsidRPr="006D7FBA">
              <w:rPr>
                <w:u w:val="none"/>
                <w:lang w:val="en-US"/>
              </w:rPr>
              <w:t>’</w:t>
            </w:r>
            <w:r w:rsidRPr="006D7FBA">
              <w:rPr>
                <w:u w:val="none"/>
                <w:lang w:val="en-US"/>
              </w:rPr>
              <w:t>in</w:t>
            </w:r>
            <w:proofErr w:type="spellEnd"/>
            <w:r w:rsidRPr="006D7FBA">
              <w:rPr>
                <w:u w:val="none"/>
                <w:lang w:val="en-US"/>
              </w:rPr>
              <w:t xml:space="preserve"> visitation (01474)</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9C5D7A9" w14:textId="45FA2051" w:rsidR="001639C1" w:rsidRPr="00162386" w:rsidRDefault="001639C1" w:rsidP="00162386">
            <w:pPr>
              <w:pStyle w:val="COMParaDecision"/>
              <w:numPr>
                <w:ilvl w:val="0"/>
                <w:numId w:val="0"/>
              </w:numPr>
              <w:spacing w:before="40" w:after="40"/>
              <w:jc w:val="left"/>
              <w:rPr>
                <w:u w:val="none"/>
              </w:rPr>
            </w:pPr>
            <w:r>
              <w:rPr>
                <w:u w:val="none"/>
              </w:rPr>
              <w:t>(0) un dossier pour 2018-2019</w:t>
            </w:r>
          </w:p>
        </w:tc>
      </w:tr>
      <w:tr w:rsidR="00EB650B" w:rsidRPr="00162386" w14:paraId="6D0AB908" w14:textId="77777777" w:rsidTr="006D7FBA">
        <w:tc>
          <w:tcPr>
            <w:tcW w:w="562" w:type="dxa"/>
            <w:shd w:val="clear" w:color="auto" w:fill="FFFFFF" w:themeFill="background1"/>
          </w:tcPr>
          <w:p w14:paraId="307D5E2C" w14:textId="55089D71" w:rsidR="001639C1" w:rsidRPr="006D7FBA" w:rsidRDefault="001639C1" w:rsidP="00162386">
            <w:pPr>
              <w:pStyle w:val="COMParaDecision"/>
              <w:numPr>
                <w:ilvl w:val="0"/>
                <w:numId w:val="0"/>
              </w:numPr>
              <w:spacing w:before="40" w:after="40"/>
              <w:rPr>
                <w:u w:val="none"/>
              </w:rPr>
            </w:pPr>
            <w:r w:rsidRPr="006D7FBA">
              <w:rPr>
                <w:u w:val="none"/>
              </w:rPr>
              <w:t>16</w:t>
            </w:r>
          </w:p>
        </w:tc>
        <w:tc>
          <w:tcPr>
            <w:tcW w:w="2835" w:type="dxa"/>
            <w:tcBorders>
              <w:bottom w:val="nil"/>
              <w:right w:val="single" w:sz="4" w:space="0" w:color="auto"/>
            </w:tcBorders>
            <w:shd w:val="clear" w:color="auto" w:fill="FFFFFF" w:themeFill="background1"/>
          </w:tcPr>
          <w:p w14:paraId="549293C7" w14:textId="19054BC0" w:rsidR="001639C1" w:rsidRPr="00162386" w:rsidRDefault="001639C1" w:rsidP="00162386">
            <w:pPr>
              <w:pStyle w:val="COMParaDecision"/>
              <w:numPr>
                <w:ilvl w:val="0"/>
                <w:numId w:val="0"/>
              </w:numPr>
              <w:spacing w:before="40" w:after="40"/>
              <w:jc w:val="left"/>
              <w:rPr>
                <w:u w:val="none"/>
              </w:rPr>
            </w:pPr>
            <w:r>
              <w:rPr>
                <w:u w:val="none"/>
              </w:rPr>
              <w:t>Italie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63C1250" w14:textId="7B37B321" w:rsidR="001639C1" w:rsidRPr="00162386" w:rsidRDefault="001639C1"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19973273" w14:textId="22DFE38A" w:rsidR="001639C1" w:rsidRPr="006D7FBA" w:rsidRDefault="001639C1" w:rsidP="00162386">
            <w:pPr>
              <w:pStyle w:val="COMParaDecision"/>
              <w:numPr>
                <w:ilvl w:val="0"/>
                <w:numId w:val="0"/>
              </w:numPr>
              <w:spacing w:before="40" w:after="40"/>
              <w:jc w:val="left"/>
              <w:rPr>
                <w:u w:val="none"/>
              </w:rPr>
            </w:pPr>
            <w:proofErr w:type="spellStart"/>
            <w:r w:rsidRPr="006D7FBA">
              <w:rPr>
                <w:u w:val="none"/>
              </w:rPr>
              <w:t>Celestinian</w:t>
            </w:r>
            <w:proofErr w:type="spellEnd"/>
            <w:r w:rsidRPr="006D7FBA">
              <w:rPr>
                <w:u w:val="none"/>
              </w:rPr>
              <w:t xml:space="preserve"> </w:t>
            </w:r>
            <w:proofErr w:type="spellStart"/>
            <w:r w:rsidRPr="006D7FBA">
              <w:rPr>
                <w:u w:val="none"/>
              </w:rPr>
              <w:t>forgiveness</w:t>
            </w:r>
            <w:proofErr w:type="spellEnd"/>
            <w:r w:rsidRPr="006D7FBA">
              <w:rPr>
                <w:u w:val="none"/>
              </w:rPr>
              <w:t xml:space="preserve"> </w:t>
            </w:r>
            <w:proofErr w:type="spellStart"/>
            <w:r w:rsidRPr="006D7FBA">
              <w:rPr>
                <w:u w:val="none"/>
              </w:rPr>
              <w:t>celebration</w:t>
            </w:r>
            <w:proofErr w:type="spellEnd"/>
            <w:r w:rsidRPr="006D7FBA">
              <w:rPr>
                <w:u w:val="none"/>
              </w:rPr>
              <w:t xml:space="preserve"> (01276)</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8771FC5" w14:textId="0228E400" w:rsidR="001639C1" w:rsidRPr="00162386" w:rsidRDefault="001639C1" w:rsidP="00162386">
            <w:pPr>
              <w:pStyle w:val="COMParaDecision"/>
              <w:numPr>
                <w:ilvl w:val="0"/>
                <w:numId w:val="0"/>
              </w:numPr>
              <w:spacing w:before="40" w:after="40"/>
              <w:jc w:val="left"/>
              <w:rPr>
                <w:u w:val="none"/>
              </w:rPr>
            </w:pPr>
            <w:r>
              <w:rPr>
                <w:u w:val="none"/>
              </w:rPr>
              <w:t>(0) un dossier pour 2018-2019</w:t>
            </w:r>
          </w:p>
        </w:tc>
      </w:tr>
      <w:tr w:rsidR="00EB650B" w:rsidRPr="00162386" w14:paraId="3066F274" w14:textId="77777777" w:rsidTr="006D7FBA">
        <w:tc>
          <w:tcPr>
            <w:tcW w:w="562" w:type="dxa"/>
            <w:shd w:val="clear" w:color="auto" w:fill="FFFFFF" w:themeFill="background1"/>
          </w:tcPr>
          <w:p w14:paraId="5B043383" w14:textId="626AC594" w:rsidR="001639C1" w:rsidRPr="006D7FBA" w:rsidRDefault="001639C1" w:rsidP="00162386">
            <w:pPr>
              <w:pStyle w:val="COMParaDecision"/>
              <w:numPr>
                <w:ilvl w:val="0"/>
                <w:numId w:val="0"/>
              </w:numPr>
              <w:spacing w:before="40" w:after="40"/>
              <w:rPr>
                <w:u w:val="none"/>
              </w:rPr>
            </w:pPr>
            <w:r w:rsidRPr="006D7FBA">
              <w:rPr>
                <w:u w:val="none"/>
              </w:rPr>
              <w:t>17</w:t>
            </w:r>
          </w:p>
        </w:tc>
        <w:tc>
          <w:tcPr>
            <w:tcW w:w="2835" w:type="dxa"/>
            <w:tcBorders>
              <w:bottom w:val="nil"/>
              <w:right w:val="single" w:sz="4" w:space="0" w:color="auto"/>
            </w:tcBorders>
            <w:shd w:val="clear" w:color="auto" w:fill="FFFFFF" w:themeFill="background1"/>
          </w:tcPr>
          <w:p w14:paraId="4B390952" w14:textId="1CA1EA8E" w:rsidR="001639C1" w:rsidRPr="00162386" w:rsidRDefault="001639C1" w:rsidP="00162386">
            <w:pPr>
              <w:pStyle w:val="COMParaDecision"/>
              <w:numPr>
                <w:ilvl w:val="0"/>
                <w:numId w:val="0"/>
              </w:numPr>
              <w:spacing w:before="40" w:after="40"/>
              <w:jc w:val="left"/>
              <w:rPr>
                <w:u w:val="none"/>
              </w:rPr>
            </w:pPr>
            <w:r>
              <w:rPr>
                <w:u w:val="none"/>
              </w:rPr>
              <w:t>Kirghizistan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6277BBC" w14:textId="0AB01B7C" w:rsidR="001639C1" w:rsidRPr="00162386" w:rsidRDefault="001639C1"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13C2B92F" w14:textId="13620DC0" w:rsidR="001639C1" w:rsidRPr="006D7FBA" w:rsidRDefault="001639C1" w:rsidP="00162386">
            <w:pPr>
              <w:pStyle w:val="COMParaDecision"/>
              <w:numPr>
                <w:ilvl w:val="0"/>
                <w:numId w:val="0"/>
              </w:numPr>
              <w:spacing w:before="40" w:after="40"/>
              <w:jc w:val="left"/>
              <w:rPr>
                <w:u w:val="none"/>
                <w:lang w:val="en-US"/>
              </w:rPr>
            </w:pPr>
            <w:proofErr w:type="spellStart"/>
            <w:r w:rsidRPr="006D7FBA">
              <w:rPr>
                <w:u w:val="none"/>
                <w:lang w:val="en-US"/>
              </w:rPr>
              <w:t>Ak</w:t>
            </w:r>
            <w:proofErr w:type="spellEnd"/>
            <w:r w:rsidRPr="006D7FBA">
              <w:rPr>
                <w:u w:val="none"/>
                <w:lang w:val="en-US"/>
              </w:rPr>
              <w:t>-kalpak craftsmanship, traditional knowledge and skills in making and wearing Kyrgyz men</w:t>
            </w:r>
            <w:r w:rsidR="0075127A" w:rsidRPr="006D7FBA">
              <w:rPr>
                <w:u w:val="none"/>
                <w:lang w:val="en-US"/>
              </w:rPr>
              <w:t>’</w:t>
            </w:r>
            <w:r w:rsidRPr="006D7FBA">
              <w:rPr>
                <w:u w:val="none"/>
                <w:lang w:val="en-US"/>
              </w:rPr>
              <w:t xml:space="preserve">s </w:t>
            </w:r>
            <w:proofErr w:type="spellStart"/>
            <w:r w:rsidRPr="006D7FBA">
              <w:rPr>
                <w:u w:val="none"/>
                <w:lang w:val="en-US"/>
              </w:rPr>
              <w:t>headwar</w:t>
            </w:r>
            <w:proofErr w:type="spellEnd"/>
            <w:r w:rsidRPr="006D7FBA">
              <w:rPr>
                <w:u w:val="none"/>
                <w:lang w:val="en-US"/>
              </w:rPr>
              <w:t xml:space="preserve"> (01496)</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0470A68" w14:textId="2A72FE0C" w:rsidR="001639C1" w:rsidRPr="00162386" w:rsidRDefault="001639C1" w:rsidP="00162386">
            <w:pPr>
              <w:pStyle w:val="COMParaDecision"/>
              <w:numPr>
                <w:ilvl w:val="0"/>
                <w:numId w:val="0"/>
              </w:numPr>
              <w:spacing w:before="40" w:after="40"/>
              <w:jc w:val="left"/>
              <w:rPr>
                <w:u w:val="none"/>
              </w:rPr>
            </w:pPr>
            <w:r>
              <w:rPr>
                <w:u w:val="none"/>
              </w:rPr>
              <w:t>(0) un dossier pour 2018-2019</w:t>
            </w:r>
          </w:p>
        </w:tc>
      </w:tr>
      <w:tr w:rsidR="00EB650B" w:rsidRPr="00162386" w14:paraId="7FB876C2" w14:textId="77777777" w:rsidTr="006D7FBA">
        <w:tc>
          <w:tcPr>
            <w:tcW w:w="562" w:type="dxa"/>
            <w:shd w:val="clear" w:color="auto" w:fill="FFFFFF" w:themeFill="background1"/>
          </w:tcPr>
          <w:p w14:paraId="756BE985" w14:textId="1883AEC9" w:rsidR="001639C1" w:rsidRPr="006D7FBA" w:rsidRDefault="001639C1" w:rsidP="00162386">
            <w:pPr>
              <w:pStyle w:val="COMParaDecision"/>
              <w:numPr>
                <w:ilvl w:val="0"/>
                <w:numId w:val="0"/>
              </w:numPr>
              <w:spacing w:before="40" w:after="40"/>
              <w:rPr>
                <w:u w:val="none"/>
              </w:rPr>
            </w:pPr>
            <w:r w:rsidRPr="006D7FBA">
              <w:rPr>
                <w:u w:val="none"/>
              </w:rPr>
              <w:t>18</w:t>
            </w:r>
          </w:p>
        </w:tc>
        <w:tc>
          <w:tcPr>
            <w:tcW w:w="2835" w:type="dxa"/>
            <w:tcBorders>
              <w:bottom w:val="single" w:sz="4" w:space="0" w:color="auto"/>
              <w:right w:val="single" w:sz="4" w:space="0" w:color="auto"/>
            </w:tcBorders>
            <w:shd w:val="clear" w:color="auto" w:fill="FFFFFF" w:themeFill="background1"/>
          </w:tcPr>
          <w:p w14:paraId="47EA7B2B" w14:textId="134EEA18" w:rsidR="001639C1" w:rsidRPr="00162386" w:rsidRDefault="001639C1" w:rsidP="00162386">
            <w:pPr>
              <w:pStyle w:val="COMParaDecision"/>
              <w:numPr>
                <w:ilvl w:val="0"/>
                <w:numId w:val="0"/>
              </w:numPr>
              <w:spacing w:before="40" w:after="40"/>
              <w:jc w:val="left"/>
              <w:rPr>
                <w:u w:val="none"/>
              </w:rPr>
            </w:pPr>
            <w:r>
              <w:rPr>
                <w:u w:val="none"/>
              </w:rPr>
              <w:t>Mongolie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983F12C" w14:textId="5577662C" w:rsidR="001639C1" w:rsidRPr="00162386" w:rsidRDefault="001639C1"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25C7E294" w14:textId="60977C73" w:rsidR="001639C1" w:rsidRPr="006D7FBA" w:rsidRDefault="001639C1" w:rsidP="00162386">
            <w:pPr>
              <w:pStyle w:val="COMParaDecision"/>
              <w:numPr>
                <w:ilvl w:val="0"/>
                <w:numId w:val="0"/>
              </w:numPr>
              <w:spacing w:before="40" w:after="40"/>
              <w:jc w:val="left"/>
              <w:rPr>
                <w:u w:val="none"/>
                <w:lang w:val="en-US"/>
              </w:rPr>
            </w:pPr>
            <w:r w:rsidRPr="006D7FBA">
              <w:rPr>
                <w:u w:val="none"/>
                <w:lang w:val="en-US"/>
              </w:rPr>
              <w:t xml:space="preserve">Traditional technique of making </w:t>
            </w:r>
            <w:proofErr w:type="spellStart"/>
            <w:r w:rsidRPr="006D7FBA">
              <w:rPr>
                <w:u w:val="none"/>
                <w:lang w:val="en-US"/>
              </w:rPr>
              <w:t>Airag</w:t>
            </w:r>
            <w:proofErr w:type="spellEnd"/>
            <w:r w:rsidRPr="006D7FBA">
              <w:rPr>
                <w:u w:val="none"/>
                <w:lang w:val="en-US"/>
              </w:rPr>
              <w:t xml:space="preserve"> in </w:t>
            </w:r>
            <w:proofErr w:type="spellStart"/>
            <w:r w:rsidRPr="006D7FBA">
              <w:rPr>
                <w:u w:val="none"/>
                <w:lang w:val="en-US"/>
              </w:rPr>
              <w:t>Khokhuur</w:t>
            </w:r>
            <w:proofErr w:type="spellEnd"/>
            <w:r w:rsidRPr="006D7FBA">
              <w:rPr>
                <w:u w:val="none"/>
                <w:lang w:val="en-US"/>
              </w:rPr>
              <w:t xml:space="preserve"> and its associated customs (01172)</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04C0716" w14:textId="2E8E3925" w:rsidR="001639C1" w:rsidRPr="00162386" w:rsidRDefault="001639C1" w:rsidP="00162386">
            <w:pPr>
              <w:pStyle w:val="COMParaDecision"/>
              <w:numPr>
                <w:ilvl w:val="0"/>
                <w:numId w:val="0"/>
              </w:numPr>
              <w:spacing w:before="40" w:after="40"/>
              <w:jc w:val="left"/>
              <w:rPr>
                <w:u w:val="none"/>
              </w:rPr>
            </w:pPr>
            <w:r>
              <w:rPr>
                <w:u w:val="none"/>
              </w:rPr>
              <w:t>(0) un dossier pour 2018-2019</w:t>
            </w:r>
          </w:p>
        </w:tc>
      </w:tr>
      <w:tr w:rsidR="00EB650B" w:rsidRPr="00162386" w14:paraId="4A90323C" w14:textId="77777777" w:rsidTr="006D7FBA">
        <w:tc>
          <w:tcPr>
            <w:tcW w:w="562" w:type="dxa"/>
            <w:tcBorders>
              <w:right w:val="single" w:sz="4" w:space="0" w:color="auto"/>
            </w:tcBorders>
            <w:shd w:val="clear" w:color="auto" w:fill="FFFFFF" w:themeFill="background1"/>
          </w:tcPr>
          <w:p w14:paraId="26A55CCF" w14:textId="2E9C7E17" w:rsidR="00B6254A" w:rsidRPr="006D7FBA" w:rsidRDefault="00B6254A" w:rsidP="00162386">
            <w:pPr>
              <w:pStyle w:val="COMParaDecision"/>
              <w:numPr>
                <w:ilvl w:val="0"/>
                <w:numId w:val="0"/>
              </w:numPr>
              <w:spacing w:before="40" w:after="40"/>
              <w:rPr>
                <w:u w:val="none"/>
              </w:rPr>
            </w:pPr>
            <w:r w:rsidRPr="006D7FBA">
              <w:rPr>
                <w:u w:val="none"/>
              </w:rPr>
              <w:lastRenderedPageBreak/>
              <w:t>19</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30E648DE" w14:textId="2D87CF6F" w:rsidR="00B6254A" w:rsidRPr="00162386" w:rsidRDefault="00B6254A" w:rsidP="00162386">
            <w:pPr>
              <w:pStyle w:val="COMParaDecision"/>
              <w:numPr>
                <w:ilvl w:val="0"/>
                <w:numId w:val="0"/>
              </w:numPr>
              <w:spacing w:before="40" w:after="40"/>
              <w:jc w:val="left"/>
              <w:rPr>
                <w:u w:val="none"/>
              </w:rPr>
            </w:pPr>
            <w:r>
              <w:rPr>
                <w:u w:val="none"/>
              </w:rPr>
              <w:t>Maroc</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D86340F" w14:textId="4E2DA3A0" w:rsidR="00B6254A" w:rsidRPr="00162386" w:rsidRDefault="00B6254A"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7087DAE5" w14:textId="47EB03D8" w:rsidR="00B6254A" w:rsidRPr="006D7FBA" w:rsidRDefault="00B6254A" w:rsidP="00162386">
            <w:pPr>
              <w:pStyle w:val="COMParaDecision"/>
              <w:numPr>
                <w:ilvl w:val="0"/>
                <w:numId w:val="0"/>
              </w:numPr>
              <w:spacing w:before="40" w:after="40"/>
              <w:jc w:val="left"/>
              <w:rPr>
                <w:u w:val="none"/>
              </w:rPr>
            </w:pPr>
            <w:proofErr w:type="spellStart"/>
            <w:r w:rsidRPr="006D7FBA">
              <w:rPr>
                <w:u w:val="none"/>
              </w:rPr>
              <w:t>Gnaoua</w:t>
            </w:r>
            <w:proofErr w:type="spellEnd"/>
            <w:r w:rsidRPr="006D7FBA">
              <w:rPr>
                <w:u w:val="none"/>
              </w:rPr>
              <w:t xml:space="preserve"> (01170)</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6E56CEB" w14:textId="1DFF63B1" w:rsidR="00B6254A" w:rsidRPr="00162386" w:rsidRDefault="00B6254A" w:rsidP="00162386">
            <w:pPr>
              <w:pStyle w:val="COMParaDecision"/>
              <w:numPr>
                <w:ilvl w:val="0"/>
                <w:numId w:val="0"/>
              </w:numPr>
              <w:spacing w:before="40" w:after="40"/>
              <w:jc w:val="left"/>
              <w:rPr>
                <w:u w:val="none"/>
              </w:rPr>
            </w:pPr>
            <w:r>
              <w:rPr>
                <w:u w:val="none"/>
              </w:rPr>
              <w:t>(0) un dossier pour 2018-2019</w:t>
            </w:r>
          </w:p>
        </w:tc>
      </w:tr>
      <w:tr w:rsidR="00EB650B" w:rsidRPr="00162386" w14:paraId="21A28F91" w14:textId="77777777" w:rsidTr="006D7FBA">
        <w:tc>
          <w:tcPr>
            <w:tcW w:w="562" w:type="dxa"/>
            <w:shd w:val="clear" w:color="auto" w:fill="FFFFFF" w:themeFill="background1"/>
          </w:tcPr>
          <w:p w14:paraId="28938B0C" w14:textId="08187A3D" w:rsidR="00B6254A" w:rsidRPr="006D7FBA" w:rsidRDefault="00B6254A" w:rsidP="00162386">
            <w:pPr>
              <w:pStyle w:val="COMParaDecision"/>
              <w:numPr>
                <w:ilvl w:val="0"/>
                <w:numId w:val="0"/>
              </w:numPr>
              <w:spacing w:before="40" w:after="40"/>
              <w:rPr>
                <w:u w:val="none"/>
              </w:rPr>
            </w:pPr>
            <w:r w:rsidRPr="006D7FBA">
              <w:rPr>
                <w:u w:val="none"/>
              </w:rPr>
              <w:t>20</w:t>
            </w:r>
          </w:p>
        </w:tc>
        <w:tc>
          <w:tcPr>
            <w:tcW w:w="2835" w:type="dxa"/>
            <w:tcBorders>
              <w:top w:val="single" w:sz="4" w:space="0" w:color="auto"/>
              <w:bottom w:val="nil"/>
              <w:right w:val="single" w:sz="4" w:space="0" w:color="auto"/>
            </w:tcBorders>
            <w:shd w:val="clear" w:color="auto" w:fill="FFFFFF" w:themeFill="background1"/>
          </w:tcPr>
          <w:p w14:paraId="3F4A20C7" w14:textId="6A7E954F" w:rsidR="00B6254A" w:rsidRPr="00162386" w:rsidRDefault="00B6254A" w:rsidP="00162386">
            <w:pPr>
              <w:pStyle w:val="COMParaDecision"/>
              <w:numPr>
                <w:ilvl w:val="0"/>
                <w:numId w:val="0"/>
              </w:numPr>
              <w:spacing w:before="40" w:after="40"/>
              <w:jc w:val="left"/>
              <w:rPr>
                <w:u w:val="none"/>
              </w:rPr>
            </w:pPr>
            <w:r>
              <w:rPr>
                <w:u w:val="none"/>
              </w:rPr>
              <w:t>Nigéria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9D84ED5" w14:textId="1532D92F" w:rsidR="00B6254A" w:rsidRPr="00162386" w:rsidRDefault="00B6254A"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1A55015F" w14:textId="5AC29F9D" w:rsidR="00B6254A" w:rsidRPr="006D7FBA" w:rsidRDefault="00B6254A" w:rsidP="00162386">
            <w:pPr>
              <w:pStyle w:val="COMParaDecision"/>
              <w:numPr>
                <w:ilvl w:val="0"/>
                <w:numId w:val="0"/>
              </w:numPr>
              <w:spacing w:before="40" w:after="40"/>
              <w:jc w:val="left"/>
              <w:rPr>
                <w:u w:val="none"/>
              </w:rPr>
            </w:pPr>
            <w:proofErr w:type="spellStart"/>
            <w:r w:rsidRPr="006D7FBA">
              <w:rPr>
                <w:u w:val="none"/>
              </w:rPr>
              <w:t>Kwagh</w:t>
            </w:r>
            <w:proofErr w:type="spellEnd"/>
            <w:r w:rsidRPr="006D7FBA">
              <w:rPr>
                <w:u w:val="none"/>
              </w:rPr>
              <w:t xml:space="preserve">-Hir </w:t>
            </w:r>
            <w:proofErr w:type="spellStart"/>
            <w:r w:rsidRPr="006D7FBA">
              <w:rPr>
                <w:u w:val="none"/>
              </w:rPr>
              <w:t>theatrical</w:t>
            </w:r>
            <w:proofErr w:type="spellEnd"/>
            <w:r w:rsidRPr="006D7FBA">
              <w:rPr>
                <w:u w:val="none"/>
              </w:rPr>
              <w:t xml:space="preserve"> performance (00683)</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A2251A2" w14:textId="77722512" w:rsidR="00B6254A" w:rsidRPr="00162386" w:rsidRDefault="00B6254A" w:rsidP="00162386">
            <w:pPr>
              <w:pStyle w:val="COMParaDecision"/>
              <w:numPr>
                <w:ilvl w:val="0"/>
                <w:numId w:val="0"/>
              </w:numPr>
              <w:spacing w:before="40" w:after="40"/>
              <w:jc w:val="left"/>
              <w:rPr>
                <w:u w:val="none"/>
              </w:rPr>
            </w:pPr>
            <w:r>
              <w:rPr>
                <w:u w:val="none"/>
              </w:rPr>
              <w:t>(0) un dossier pour 2018-201</w:t>
            </w:r>
          </w:p>
        </w:tc>
      </w:tr>
      <w:tr w:rsidR="00EB650B" w:rsidRPr="00162386" w14:paraId="78AAD538" w14:textId="77777777" w:rsidTr="006D7FBA">
        <w:tc>
          <w:tcPr>
            <w:tcW w:w="562" w:type="dxa"/>
            <w:shd w:val="clear" w:color="auto" w:fill="FFFFFF" w:themeFill="background1"/>
          </w:tcPr>
          <w:p w14:paraId="07097670" w14:textId="2A4482AF" w:rsidR="00B6254A" w:rsidRPr="006D7FBA" w:rsidRDefault="00B6254A" w:rsidP="00162386">
            <w:pPr>
              <w:pStyle w:val="COMParaDecision"/>
              <w:numPr>
                <w:ilvl w:val="0"/>
                <w:numId w:val="0"/>
              </w:numPr>
              <w:spacing w:before="40" w:after="40"/>
              <w:rPr>
                <w:u w:val="none"/>
              </w:rPr>
            </w:pPr>
            <w:r w:rsidRPr="006D7FBA">
              <w:rPr>
                <w:u w:val="none"/>
              </w:rPr>
              <w:t>21</w:t>
            </w:r>
          </w:p>
        </w:tc>
        <w:tc>
          <w:tcPr>
            <w:tcW w:w="2835" w:type="dxa"/>
            <w:tcBorders>
              <w:bottom w:val="nil"/>
              <w:right w:val="single" w:sz="4" w:space="0" w:color="auto"/>
            </w:tcBorders>
            <w:shd w:val="clear" w:color="auto" w:fill="FFFFFF" w:themeFill="background1"/>
          </w:tcPr>
          <w:p w14:paraId="11115D77" w14:textId="2270FB32" w:rsidR="00B6254A" w:rsidRPr="00162386" w:rsidRDefault="00B6254A" w:rsidP="00162386">
            <w:pPr>
              <w:pStyle w:val="COMParaDecision"/>
              <w:numPr>
                <w:ilvl w:val="0"/>
                <w:numId w:val="0"/>
              </w:numPr>
              <w:spacing w:before="40" w:after="40"/>
              <w:jc w:val="left"/>
              <w:rPr>
                <w:u w:val="none"/>
              </w:rPr>
            </w:pPr>
            <w:r>
              <w:rPr>
                <w:u w:val="none"/>
              </w:rPr>
              <w:t>Norvège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23B493D" w14:textId="63617804" w:rsidR="00B6254A" w:rsidRPr="00162386" w:rsidRDefault="00B6254A"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17758D0B" w14:textId="2D461CE7" w:rsidR="00B6254A" w:rsidRPr="006D7FBA" w:rsidRDefault="00B6254A" w:rsidP="00162386">
            <w:pPr>
              <w:pStyle w:val="COMParaDecision"/>
              <w:numPr>
                <w:ilvl w:val="0"/>
                <w:numId w:val="0"/>
              </w:numPr>
              <w:spacing w:before="40" w:after="40"/>
              <w:jc w:val="left"/>
              <w:rPr>
                <w:u w:val="none"/>
                <w:lang w:val="en-US"/>
              </w:rPr>
            </w:pPr>
            <w:r w:rsidRPr="006D7FBA">
              <w:rPr>
                <w:u w:val="none"/>
                <w:lang w:val="en-US"/>
              </w:rPr>
              <w:t xml:space="preserve">Practice of traditional music and dance in </w:t>
            </w:r>
            <w:proofErr w:type="spellStart"/>
            <w:r w:rsidRPr="006D7FBA">
              <w:rPr>
                <w:u w:val="none"/>
                <w:lang w:val="en-US"/>
              </w:rPr>
              <w:t>Setesdal</w:t>
            </w:r>
            <w:proofErr w:type="spellEnd"/>
            <w:r w:rsidRPr="006D7FBA">
              <w:rPr>
                <w:u w:val="none"/>
                <w:lang w:val="en-US"/>
              </w:rPr>
              <w:t>. Playing, dancing and singing (</w:t>
            </w:r>
            <w:proofErr w:type="spellStart"/>
            <w:r w:rsidRPr="006D7FBA">
              <w:rPr>
                <w:u w:val="none"/>
                <w:lang w:val="en-US"/>
              </w:rPr>
              <w:t>stev</w:t>
            </w:r>
            <w:proofErr w:type="spellEnd"/>
            <w:r w:rsidRPr="006D7FBA">
              <w:rPr>
                <w:u w:val="none"/>
                <w:lang w:val="en-US"/>
              </w:rPr>
              <w:t>/</w:t>
            </w:r>
            <w:proofErr w:type="spellStart"/>
            <w:r w:rsidRPr="006D7FBA">
              <w:rPr>
                <w:u w:val="none"/>
                <w:lang w:val="en-US"/>
              </w:rPr>
              <w:t>stevjing</w:t>
            </w:r>
            <w:proofErr w:type="spellEnd"/>
            <w:r w:rsidRPr="006D7FBA">
              <w:rPr>
                <w:u w:val="none"/>
                <w:lang w:val="en-US"/>
              </w:rPr>
              <w:t>) (01432)</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3B09758" w14:textId="75CF8F86" w:rsidR="00B6254A" w:rsidRPr="00162386" w:rsidRDefault="00B6254A" w:rsidP="00162386">
            <w:pPr>
              <w:pStyle w:val="COMParaDecision"/>
              <w:numPr>
                <w:ilvl w:val="0"/>
                <w:numId w:val="0"/>
              </w:numPr>
              <w:spacing w:before="40" w:after="40"/>
              <w:jc w:val="left"/>
              <w:rPr>
                <w:u w:val="none"/>
              </w:rPr>
            </w:pPr>
            <w:r>
              <w:rPr>
                <w:u w:val="none"/>
              </w:rPr>
              <w:t>(0) un dossier pour 2018-2019</w:t>
            </w:r>
          </w:p>
        </w:tc>
      </w:tr>
      <w:tr w:rsidR="00EB650B" w:rsidRPr="00162386" w14:paraId="6306477D" w14:textId="77777777" w:rsidTr="006D7FBA">
        <w:tc>
          <w:tcPr>
            <w:tcW w:w="562" w:type="dxa"/>
            <w:shd w:val="clear" w:color="auto" w:fill="FFFFFF" w:themeFill="background1"/>
          </w:tcPr>
          <w:p w14:paraId="2A259C4B" w14:textId="2F325829" w:rsidR="00B6254A" w:rsidRPr="006D7FBA" w:rsidRDefault="00B6254A" w:rsidP="00162386">
            <w:pPr>
              <w:pStyle w:val="COMParaDecision"/>
              <w:numPr>
                <w:ilvl w:val="0"/>
                <w:numId w:val="0"/>
              </w:numPr>
              <w:spacing w:before="40" w:after="40"/>
              <w:rPr>
                <w:u w:val="none"/>
              </w:rPr>
            </w:pPr>
            <w:r w:rsidRPr="006D7FBA">
              <w:rPr>
                <w:u w:val="none"/>
              </w:rPr>
              <w:t>22</w:t>
            </w:r>
          </w:p>
        </w:tc>
        <w:tc>
          <w:tcPr>
            <w:tcW w:w="2835" w:type="dxa"/>
            <w:tcBorders>
              <w:bottom w:val="nil"/>
              <w:right w:val="single" w:sz="4" w:space="0" w:color="auto"/>
            </w:tcBorders>
            <w:shd w:val="clear" w:color="auto" w:fill="FFFFFF" w:themeFill="background1"/>
          </w:tcPr>
          <w:p w14:paraId="7FE99FF1" w14:textId="4F8C731E" w:rsidR="00B6254A" w:rsidRPr="00162386" w:rsidRDefault="00B6254A" w:rsidP="00162386">
            <w:pPr>
              <w:pStyle w:val="COMParaDecision"/>
              <w:numPr>
                <w:ilvl w:val="0"/>
                <w:numId w:val="0"/>
              </w:numPr>
              <w:spacing w:before="40" w:after="40"/>
              <w:jc w:val="left"/>
              <w:rPr>
                <w:u w:val="none"/>
              </w:rPr>
            </w:pPr>
            <w:r>
              <w:rPr>
                <w:u w:val="none"/>
              </w:rPr>
              <w:t>Pérou</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0A9D151" w14:textId="5A2923A2" w:rsidR="00B6254A" w:rsidRPr="00162386" w:rsidRDefault="00B6254A"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4DCFF880" w14:textId="7748E09B" w:rsidR="00B6254A" w:rsidRPr="006D7FBA" w:rsidRDefault="00B6254A" w:rsidP="00162386">
            <w:pPr>
              <w:pStyle w:val="COMParaDecision"/>
              <w:numPr>
                <w:ilvl w:val="0"/>
                <w:numId w:val="0"/>
              </w:numPr>
              <w:spacing w:before="40" w:after="40"/>
              <w:jc w:val="left"/>
              <w:rPr>
                <w:u w:val="none"/>
                <w:lang w:val="en-US"/>
              </w:rPr>
            </w:pPr>
            <w:proofErr w:type="spellStart"/>
            <w:r w:rsidRPr="006D7FBA">
              <w:rPr>
                <w:u w:val="none"/>
                <w:lang w:val="en-US"/>
              </w:rPr>
              <w:t>Hatajo</w:t>
            </w:r>
            <w:proofErr w:type="spellEnd"/>
            <w:r w:rsidRPr="006D7FBA">
              <w:rPr>
                <w:u w:val="none"/>
                <w:lang w:val="en-US"/>
              </w:rPr>
              <w:t xml:space="preserve"> de Negritos and </w:t>
            </w:r>
            <w:proofErr w:type="spellStart"/>
            <w:r w:rsidRPr="006D7FBA">
              <w:rPr>
                <w:u w:val="none"/>
                <w:lang w:val="en-US"/>
              </w:rPr>
              <w:t>Hatajo</w:t>
            </w:r>
            <w:proofErr w:type="spellEnd"/>
            <w:r w:rsidRPr="006D7FBA">
              <w:rPr>
                <w:u w:val="none"/>
                <w:lang w:val="en-US"/>
              </w:rPr>
              <w:t xml:space="preserve"> de </w:t>
            </w:r>
            <w:proofErr w:type="spellStart"/>
            <w:r w:rsidRPr="006D7FBA">
              <w:rPr>
                <w:u w:val="none"/>
                <w:lang w:val="en-US"/>
              </w:rPr>
              <w:t>Pallitas</w:t>
            </w:r>
            <w:proofErr w:type="spellEnd"/>
            <w:r w:rsidRPr="006D7FBA">
              <w:rPr>
                <w:u w:val="none"/>
                <w:lang w:val="en-US"/>
              </w:rPr>
              <w:t xml:space="preserve"> from the Peruvian south-central coastline (01309)</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E7D2BCE" w14:textId="41DD8395" w:rsidR="00B6254A" w:rsidRPr="00162386" w:rsidRDefault="00B6254A" w:rsidP="00162386">
            <w:pPr>
              <w:pStyle w:val="COMParaDecision"/>
              <w:numPr>
                <w:ilvl w:val="0"/>
                <w:numId w:val="0"/>
              </w:numPr>
              <w:spacing w:before="40" w:after="40"/>
              <w:jc w:val="left"/>
              <w:rPr>
                <w:u w:val="none"/>
              </w:rPr>
            </w:pPr>
            <w:r>
              <w:rPr>
                <w:u w:val="none"/>
              </w:rPr>
              <w:t>(0) un dossier pour 2018-2019</w:t>
            </w:r>
          </w:p>
        </w:tc>
      </w:tr>
      <w:tr w:rsidR="00EB650B" w:rsidRPr="00162386" w14:paraId="5B796771" w14:textId="77777777" w:rsidTr="006D7FBA">
        <w:tc>
          <w:tcPr>
            <w:tcW w:w="562" w:type="dxa"/>
            <w:shd w:val="clear" w:color="auto" w:fill="FFFFFF" w:themeFill="background1"/>
          </w:tcPr>
          <w:p w14:paraId="79458A83" w14:textId="7D4B83BE" w:rsidR="00B6254A" w:rsidRPr="006D7FBA" w:rsidRDefault="00B6254A" w:rsidP="00162386">
            <w:pPr>
              <w:pStyle w:val="COMParaDecision"/>
              <w:numPr>
                <w:ilvl w:val="0"/>
                <w:numId w:val="0"/>
              </w:numPr>
              <w:spacing w:before="40" w:after="40"/>
              <w:rPr>
                <w:u w:val="none"/>
              </w:rPr>
            </w:pPr>
            <w:r w:rsidRPr="006D7FBA">
              <w:rPr>
                <w:u w:val="none"/>
              </w:rPr>
              <w:t>23</w:t>
            </w:r>
          </w:p>
        </w:tc>
        <w:tc>
          <w:tcPr>
            <w:tcW w:w="2835" w:type="dxa"/>
            <w:tcBorders>
              <w:bottom w:val="nil"/>
              <w:right w:val="single" w:sz="4" w:space="0" w:color="auto"/>
            </w:tcBorders>
            <w:shd w:val="clear" w:color="auto" w:fill="FFFFFF" w:themeFill="background1"/>
          </w:tcPr>
          <w:p w14:paraId="7BDFCD28" w14:textId="0945E0EE" w:rsidR="00B6254A" w:rsidRPr="00162386" w:rsidRDefault="00B6254A" w:rsidP="00162386">
            <w:pPr>
              <w:pStyle w:val="COMParaDecision"/>
              <w:numPr>
                <w:ilvl w:val="0"/>
                <w:numId w:val="0"/>
              </w:numPr>
              <w:spacing w:before="40" w:after="40"/>
              <w:jc w:val="left"/>
              <w:rPr>
                <w:u w:val="none"/>
              </w:rPr>
            </w:pPr>
            <w:r>
              <w:rPr>
                <w:u w:val="none"/>
              </w:rPr>
              <w:t>Portugal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3CE6440" w14:textId="58D2B758" w:rsidR="00B6254A" w:rsidRPr="00162386" w:rsidRDefault="00B6254A"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2FE8DAAB" w14:textId="26D07D3E" w:rsidR="00B6254A" w:rsidRPr="006D7FBA" w:rsidRDefault="00B6254A" w:rsidP="00162386">
            <w:pPr>
              <w:pStyle w:val="COMParaDecision"/>
              <w:numPr>
                <w:ilvl w:val="0"/>
                <w:numId w:val="0"/>
              </w:numPr>
              <w:spacing w:before="40" w:after="40"/>
              <w:jc w:val="left"/>
              <w:rPr>
                <w:u w:val="none"/>
                <w:lang w:val="en-US"/>
              </w:rPr>
            </w:pPr>
            <w:r w:rsidRPr="006D7FBA">
              <w:rPr>
                <w:u w:val="none"/>
                <w:lang w:val="en-US"/>
              </w:rPr>
              <w:t xml:space="preserve">Winter festivities, Carnival of </w:t>
            </w:r>
            <w:proofErr w:type="spellStart"/>
            <w:r w:rsidRPr="006D7FBA">
              <w:rPr>
                <w:u w:val="none"/>
                <w:lang w:val="en-US"/>
              </w:rPr>
              <w:t>Podence</w:t>
            </w:r>
            <w:proofErr w:type="spellEnd"/>
            <w:r w:rsidRPr="006D7FBA">
              <w:rPr>
                <w:u w:val="none"/>
                <w:lang w:val="en-US"/>
              </w:rPr>
              <w:t xml:space="preserve"> (01463)</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319AFC9" w14:textId="276177EF" w:rsidR="00B6254A" w:rsidRPr="00162386" w:rsidRDefault="00B6254A" w:rsidP="00162386">
            <w:pPr>
              <w:pStyle w:val="COMParaDecision"/>
              <w:numPr>
                <w:ilvl w:val="0"/>
                <w:numId w:val="0"/>
              </w:numPr>
              <w:spacing w:before="40" w:after="40"/>
              <w:jc w:val="left"/>
              <w:rPr>
                <w:u w:val="none"/>
              </w:rPr>
            </w:pPr>
            <w:r>
              <w:rPr>
                <w:u w:val="none"/>
              </w:rPr>
              <w:t>(0) un dossier pour 2018-2019</w:t>
            </w:r>
          </w:p>
        </w:tc>
      </w:tr>
      <w:tr w:rsidR="00EB650B" w:rsidRPr="00162386" w14:paraId="4678B559" w14:textId="77777777" w:rsidTr="006D7FBA">
        <w:tc>
          <w:tcPr>
            <w:tcW w:w="562" w:type="dxa"/>
            <w:shd w:val="clear" w:color="auto" w:fill="FFFFFF" w:themeFill="background1"/>
          </w:tcPr>
          <w:p w14:paraId="5DD806CD" w14:textId="2C88A797" w:rsidR="00B6254A" w:rsidRPr="006D7FBA" w:rsidRDefault="00B6254A" w:rsidP="00162386">
            <w:pPr>
              <w:pStyle w:val="COMParaDecision"/>
              <w:numPr>
                <w:ilvl w:val="0"/>
                <w:numId w:val="0"/>
              </w:numPr>
              <w:spacing w:before="40" w:after="40"/>
              <w:rPr>
                <w:u w:val="none"/>
              </w:rPr>
            </w:pPr>
            <w:r w:rsidRPr="006D7FBA">
              <w:rPr>
                <w:u w:val="none"/>
              </w:rPr>
              <w:t>24</w:t>
            </w:r>
          </w:p>
        </w:tc>
        <w:tc>
          <w:tcPr>
            <w:tcW w:w="2835" w:type="dxa"/>
            <w:tcBorders>
              <w:bottom w:val="nil"/>
              <w:right w:val="single" w:sz="4" w:space="0" w:color="auto"/>
            </w:tcBorders>
            <w:shd w:val="clear" w:color="auto" w:fill="FFFFFF" w:themeFill="background1"/>
          </w:tcPr>
          <w:p w14:paraId="4389CA21" w14:textId="50AAF2B4" w:rsidR="00B6254A" w:rsidRPr="00162386" w:rsidRDefault="00B6254A" w:rsidP="00162386">
            <w:pPr>
              <w:pStyle w:val="COMParaDecision"/>
              <w:numPr>
                <w:ilvl w:val="0"/>
                <w:numId w:val="0"/>
              </w:numPr>
              <w:spacing w:before="40" w:after="40"/>
              <w:jc w:val="left"/>
              <w:rPr>
                <w:u w:val="none"/>
              </w:rPr>
            </w:pPr>
            <w:r>
              <w:rPr>
                <w:u w:val="none"/>
              </w:rPr>
              <w:t>Samoa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81C1DCC" w14:textId="492DCBD7" w:rsidR="00B6254A" w:rsidRPr="00162386" w:rsidRDefault="00B6254A"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09AFCB5E" w14:textId="33B64B1A" w:rsidR="00B6254A" w:rsidRPr="006D7FBA" w:rsidRDefault="0075127A" w:rsidP="00162386">
            <w:pPr>
              <w:pStyle w:val="COMParaDecision"/>
              <w:numPr>
                <w:ilvl w:val="0"/>
                <w:numId w:val="0"/>
              </w:numPr>
              <w:spacing w:before="40" w:after="40"/>
              <w:jc w:val="left"/>
              <w:rPr>
                <w:u w:val="none"/>
                <w:lang w:val="en-US"/>
              </w:rPr>
            </w:pPr>
            <w:r w:rsidRPr="006D7FBA">
              <w:rPr>
                <w:u w:val="none"/>
                <w:lang w:val="en-US"/>
              </w:rPr>
              <w:t>‘</w:t>
            </w:r>
            <w:proofErr w:type="spellStart"/>
            <w:r w:rsidR="00B6254A" w:rsidRPr="006D7FBA">
              <w:rPr>
                <w:u w:val="none"/>
                <w:lang w:val="en-US"/>
              </w:rPr>
              <w:t>Ie</w:t>
            </w:r>
            <w:proofErr w:type="spellEnd"/>
            <w:r w:rsidR="00B6254A" w:rsidRPr="006D7FBA">
              <w:rPr>
                <w:u w:val="none"/>
                <w:lang w:val="en-US"/>
              </w:rPr>
              <w:t xml:space="preserve"> Samoa, fine mats and its cultural value (01499)</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81987BA" w14:textId="651A57E0" w:rsidR="00B6254A" w:rsidRPr="00162386" w:rsidRDefault="00B6254A" w:rsidP="00162386">
            <w:pPr>
              <w:pStyle w:val="COMParaDecision"/>
              <w:numPr>
                <w:ilvl w:val="0"/>
                <w:numId w:val="0"/>
              </w:numPr>
              <w:spacing w:before="40" w:after="40"/>
              <w:jc w:val="left"/>
              <w:rPr>
                <w:u w:val="none"/>
              </w:rPr>
            </w:pPr>
            <w:r>
              <w:rPr>
                <w:u w:val="none"/>
              </w:rPr>
              <w:t>(0) un dossier pour 2018-2019</w:t>
            </w:r>
          </w:p>
        </w:tc>
      </w:tr>
      <w:tr w:rsidR="00EB650B" w:rsidRPr="00162386" w14:paraId="040898E1" w14:textId="77777777" w:rsidTr="006D7FBA">
        <w:tc>
          <w:tcPr>
            <w:tcW w:w="562" w:type="dxa"/>
            <w:shd w:val="clear" w:color="auto" w:fill="FFFFFF" w:themeFill="background1"/>
          </w:tcPr>
          <w:p w14:paraId="1F51D7B2" w14:textId="20CCF90B" w:rsidR="00B6254A" w:rsidRPr="006D7FBA" w:rsidRDefault="00B6254A" w:rsidP="00162386">
            <w:pPr>
              <w:pStyle w:val="COMParaDecision"/>
              <w:numPr>
                <w:ilvl w:val="0"/>
                <w:numId w:val="0"/>
              </w:numPr>
              <w:spacing w:before="40" w:after="40"/>
              <w:rPr>
                <w:u w:val="none"/>
              </w:rPr>
            </w:pPr>
            <w:r w:rsidRPr="006D7FBA">
              <w:rPr>
                <w:u w:val="none"/>
              </w:rPr>
              <w:t>25</w:t>
            </w:r>
          </w:p>
        </w:tc>
        <w:tc>
          <w:tcPr>
            <w:tcW w:w="2835" w:type="dxa"/>
            <w:tcBorders>
              <w:bottom w:val="nil"/>
              <w:right w:val="single" w:sz="4" w:space="0" w:color="auto"/>
            </w:tcBorders>
            <w:shd w:val="clear" w:color="auto" w:fill="FFFFFF" w:themeFill="background1"/>
          </w:tcPr>
          <w:p w14:paraId="21CC88B4" w14:textId="265C204C" w:rsidR="00B6254A" w:rsidRPr="00162386" w:rsidRDefault="00B6254A" w:rsidP="00162386">
            <w:pPr>
              <w:pStyle w:val="COMParaDecision"/>
              <w:numPr>
                <w:ilvl w:val="0"/>
                <w:numId w:val="0"/>
              </w:numPr>
              <w:spacing w:before="40" w:after="40"/>
              <w:jc w:val="left"/>
              <w:rPr>
                <w:u w:val="none"/>
              </w:rPr>
            </w:pPr>
            <w:r>
              <w:rPr>
                <w:u w:val="none"/>
              </w:rPr>
              <w:t>Seychelles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EA52E58" w14:textId="374FC1E0" w:rsidR="00B6254A" w:rsidRPr="00162386" w:rsidRDefault="00B6254A"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61EFAE59" w14:textId="09CD860B" w:rsidR="00B6254A" w:rsidRPr="006D7FBA" w:rsidRDefault="00B6254A" w:rsidP="00162386">
            <w:pPr>
              <w:pStyle w:val="COMParaDecision"/>
              <w:numPr>
                <w:ilvl w:val="0"/>
                <w:numId w:val="0"/>
              </w:numPr>
              <w:spacing w:before="40" w:after="40"/>
              <w:jc w:val="left"/>
              <w:rPr>
                <w:u w:val="none"/>
              </w:rPr>
            </w:pPr>
            <w:proofErr w:type="spellStart"/>
            <w:r w:rsidRPr="006D7FBA">
              <w:rPr>
                <w:u w:val="none"/>
              </w:rPr>
              <w:t>Moutya</w:t>
            </w:r>
            <w:proofErr w:type="spellEnd"/>
            <w:r w:rsidRPr="006D7FBA">
              <w:rPr>
                <w:u w:val="none"/>
              </w:rPr>
              <w:t>/</w:t>
            </w:r>
            <w:proofErr w:type="spellStart"/>
            <w:r w:rsidRPr="006D7FBA">
              <w:rPr>
                <w:u w:val="none"/>
              </w:rPr>
              <w:t>Moutia</w:t>
            </w:r>
            <w:proofErr w:type="spellEnd"/>
            <w:r w:rsidRPr="006D7FBA">
              <w:rPr>
                <w:u w:val="none"/>
              </w:rPr>
              <w:t xml:space="preserve"> (01487)</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3007801" w14:textId="2C9C1B67" w:rsidR="00B6254A" w:rsidRPr="00162386" w:rsidRDefault="00B6254A" w:rsidP="00162386">
            <w:pPr>
              <w:pStyle w:val="COMParaDecision"/>
              <w:numPr>
                <w:ilvl w:val="0"/>
                <w:numId w:val="0"/>
              </w:numPr>
              <w:spacing w:before="40" w:after="40"/>
              <w:jc w:val="left"/>
              <w:rPr>
                <w:u w:val="none"/>
              </w:rPr>
            </w:pPr>
            <w:r>
              <w:rPr>
                <w:u w:val="none"/>
              </w:rPr>
              <w:t>(0) un dossier pour 2018-2019</w:t>
            </w:r>
          </w:p>
        </w:tc>
      </w:tr>
      <w:tr w:rsidR="00EB650B" w:rsidRPr="00162386" w14:paraId="36EC9BE5" w14:textId="77777777" w:rsidTr="006D7FBA">
        <w:tc>
          <w:tcPr>
            <w:tcW w:w="562" w:type="dxa"/>
            <w:shd w:val="clear" w:color="auto" w:fill="FFFFFF" w:themeFill="background1"/>
          </w:tcPr>
          <w:p w14:paraId="18513539" w14:textId="41C77F6B" w:rsidR="00B6254A" w:rsidRPr="006D7FBA" w:rsidRDefault="00B6254A" w:rsidP="00162386">
            <w:pPr>
              <w:pStyle w:val="COMParaDecision"/>
              <w:numPr>
                <w:ilvl w:val="0"/>
                <w:numId w:val="0"/>
              </w:numPr>
              <w:spacing w:before="40" w:after="40"/>
              <w:rPr>
                <w:u w:val="none"/>
              </w:rPr>
            </w:pPr>
            <w:r w:rsidRPr="006D7FBA">
              <w:rPr>
                <w:u w:val="none"/>
              </w:rPr>
              <w:t>26</w:t>
            </w:r>
          </w:p>
        </w:tc>
        <w:tc>
          <w:tcPr>
            <w:tcW w:w="2835" w:type="dxa"/>
            <w:tcBorders>
              <w:bottom w:val="nil"/>
              <w:right w:val="single" w:sz="4" w:space="0" w:color="auto"/>
            </w:tcBorders>
            <w:shd w:val="clear" w:color="auto" w:fill="FFFFFF" w:themeFill="background1"/>
          </w:tcPr>
          <w:p w14:paraId="7E738AB8" w14:textId="4B3EA01A" w:rsidR="00B6254A" w:rsidRPr="00162386" w:rsidRDefault="00B6254A" w:rsidP="00162386">
            <w:pPr>
              <w:pStyle w:val="COMParaDecision"/>
              <w:numPr>
                <w:ilvl w:val="0"/>
                <w:numId w:val="0"/>
              </w:numPr>
              <w:spacing w:before="40" w:after="40"/>
              <w:jc w:val="left"/>
              <w:rPr>
                <w:u w:val="none"/>
              </w:rPr>
            </w:pPr>
            <w:r>
              <w:rPr>
                <w:u w:val="none"/>
              </w:rPr>
              <w:t>Suisse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19DABD5" w14:textId="3C90D95E" w:rsidR="00B6254A" w:rsidRPr="00162386" w:rsidRDefault="00B6254A"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08D5CEF1" w14:textId="1BEFAF69" w:rsidR="00B6254A" w:rsidRPr="006D7FBA" w:rsidRDefault="00B6254A" w:rsidP="00162386">
            <w:pPr>
              <w:pStyle w:val="COMParaDecision"/>
              <w:numPr>
                <w:ilvl w:val="0"/>
                <w:numId w:val="0"/>
              </w:numPr>
              <w:spacing w:before="40" w:after="40"/>
              <w:jc w:val="left"/>
              <w:rPr>
                <w:u w:val="none"/>
              </w:rPr>
            </w:pPr>
            <w:r w:rsidRPr="006D7FBA">
              <w:rPr>
                <w:u w:val="none"/>
              </w:rPr>
              <w:t>Processions de la Semaine Sainte à Mendrisio (01460)</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D70AEBF" w14:textId="552914D4" w:rsidR="00B6254A" w:rsidRPr="00162386" w:rsidRDefault="00B6254A" w:rsidP="00162386">
            <w:pPr>
              <w:pStyle w:val="COMParaDecision"/>
              <w:numPr>
                <w:ilvl w:val="0"/>
                <w:numId w:val="0"/>
              </w:numPr>
              <w:spacing w:before="40" w:after="40"/>
              <w:jc w:val="left"/>
              <w:rPr>
                <w:u w:val="none"/>
              </w:rPr>
            </w:pPr>
            <w:r>
              <w:rPr>
                <w:u w:val="none"/>
              </w:rPr>
              <w:t>(0) un dossier pour 2018-2019</w:t>
            </w:r>
          </w:p>
        </w:tc>
      </w:tr>
      <w:tr w:rsidR="00EB650B" w:rsidRPr="00162386" w14:paraId="2D60DDA4" w14:textId="77777777" w:rsidTr="006D7FBA">
        <w:tc>
          <w:tcPr>
            <w:tcW w:w="562" w:type="dxa"/>
            <w:shd w:val="clear" w:color="auto" w:fill="FFFFFF" w:themeFill="background1"/>
          </w:tcPr>
          <w:p w14:paraId="1026B317" w14:textId="446271B1" w:rsidR="00B6254A" w:rsidRPr="006D7FBA" w:rsidRDefault="00B6254A" w:rsidP="00162386">
            <w:pPr>
              <w:pStyle w:val="COMParaDecision"/>
              <w:numPr>
                <w:ilvl w:val="0"/>
                <w:numId w:val="0"/>
              </w:numPr>
              <w:spacing w:before="40" w:after="40"/>
              <w:rPr>
                <w:u w:val="none"/>
              </w:rPr>
            </w:pPr>
            <w:r w:rsidRPr="006D7FBA">
              <w:rPr>
                <w:u w:val="none"/>
              </w:rPr>
              <w:t>27</w:t>
            </w:r>
          </w:p>
        </w:tc>
        <w:tc>
          <w:tcPr>
            <w:tcW w:w="2835" w:type="dxa"/>
            <w:tcBorders>
              <w:bottom w:val="nil"/>
              <w:right w:val="single" w:sz="4" w:space="0" w:color="auto"/>
            </w:tcBorders>
            <w:shd w:val="clear" w:color="auto" w:fill="FFFFFF" w:themeFill="background1"/>
          </w:tcPr>
          <w:p w14:paraId="37B1408A" w14:textId="6F840F57" w:rsidR="00B6254A" w:rsidRPr="00162386" w:rsidRDefault="00B6254A" w:rsidP="00162386">
            <w:pPr>
              <w:pStyle w:val="COMParaDecision"/>
              <w:numPr>
                <w:ilvl w:val="0"/>
                <w:numId w:val="0"/>
              </w:numPr>
              <w:spacing w:before="40" w:after="40"/>
              <w:jc w:val="left"/>
              <w:rPr>
                <w:u w:val="none"/>
              </w:rPr>
            </w:pPr>
            <w:r>
              <w:rPr>
                <w:u w:val="none"/>
              </w:rPr>
              <w:t>Turquie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605B70A" w14:textId="384D7DA2" w:rsidR="00B6254A" w:rsidRPr="00162386" w:rsidRDefault="00B6254A"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444BCA5B" w14:textId="0FD9819A" w:rsidR="00B6254A" w:rsidRPr="006D7FBA" w:rsidRDefault="00B6254A" w:rsidP="00162386">
            <w:pPr>
              <w:pStyle w:val="COMParaDecision"/>
              <w:numPr>
                <w:ilvl w:val="0"/>
                <w:numId w:val="0"/>
              </w:numPr>
              <w:spacing w:before="40" w:after="40"/>
              <w:jc w:val="left"/>
              <w:rPr>
                <w:u w:val="none"/>
              </w:rPr>
            </w:pPr>
            <w:proofErr w:type="spellStart"/>
            <w:r w:rsidRPr="006D7FBA">
              <w:rPr>
                <w:u w:val="none"/>
              </w:rPr>
              <w:t>Traditional</w:t>
            </w:r>
            <w:proofErr w:type="spellEnd"/>
            <w:r w:rsidRPr="006D7FBA">
              <w:rPr>
                <w:u w:val="none"/>
              </w:rPr>
              <w:t xml:space="preserve"> </w:t>
            </w:r>
            <w:proofErr w:type="spellStart"/>
            <w:r w:rsidRPr="006D7FBA">
              <w:rPr>
                <w:u w:val="none"/>
              </w:rPr>
              <w:t>Turkish</w:t>
            </w:r>
            <w:proofErr w:type="spellEnd"/>
            <w:r w:rsidRPr="006D7FBA">
              <w:rPr>
                <w:u w:val="none"/>
              </w:rPr>
              <w:t xml:space="preserve"> </w:t>
            </w:r>
            <w:proofErr w:type="spellStart"/>
            <w:r w:rsidRPr="006D7FBA">
              <w:rPr>
                <w:u w:val="none"/>
              </w:rPr>
              <w:t>archery</w:t>
            </w:r>
            <w:proofErr w:type="spellEnd"/>
            <w:r w:rsidRPr="006D7FBA">
              <w:rPr>
                <w:u w:val="none"/>
              </w:rPr>
              <w:t xml:space="preserve"> (01367)</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A9EE917" w14:textId="264DAAF1" w:rsidR="00B6254A" w:rsidRPr="00162386" w:rsidRDefault="00B6254A" w:rsidP="00162386">
            <w:pPr>
              <w:pStyle w:val="COMParaDecision"/>
              <w:numPr>
                <w:ilvl w:val="0"/>
                <w:numId w:val="0"/>
              </w:numPr>
              <w:spacing w:before="40" w:after="40"/>
              <w:jc w:val="left"/>
              <w:rPr>
                <w:u w:val="none"/>
              </w:rPr>
            </w:pPr>
            <w:r>
              <w:rPr>
                <w:u w:val="none"/>
              </w:rPr>
              <w:t>(0) un dossier pour 2018-2019</w:t>
            </w:r>
          </w:p>
        </w:tc>
      </w:tr>
      <w:tr w:rsidR="00EB650B" w:rsidRPr="00162386" w14:paraId="56C7A412" w14:textId="77777777" w:rsidTr="006D7FBA">
        <w:tc>
          <w:tcPr>
            <w:tcW w:w="562" w:type="dxa"/>
            <w:shd w:val="clear" w:color="auto" w:fill="FFFFFF" w:themeFill="background1"/>
          </w:tcPr>
          <w:p w14:paraId="55305BA3" w14:textId="4823CFD0" w:rsidR="00B6254A" w:rsidRPr="006D7FBA" w:rsidRDefault="00B6254A" w:rsidP="00162386">
            <w:pPr>
              <w:pStyle w:val="COMParaDecision"/>
              <w:numPr>
                <w:ilvl w:val="0"/>
                <w:numId w:val="0"/>
              </w:numPr>
              <w:spacing w:before="40" w:after="40"/>
              <w:rPr>
                <w:u w:val="none"/>
              </w:rPr>
            </w:pPr>
            <w:r w:rsidRPr="006D7FBA">
              <w:rPr>
                <w:u w:val="none"/>
              </w:rPr>
              <w:t>28</w:t>
            </w:r>
          </w:p>
        </w:tc>
        <w:tc>
          <w:tcPr>
            <w:tcW w:w="2835" w:type="dxa"/>
            <w:tcBorders>
              <w:bottom w:val="nil"/>
              <w:right w:val="single" w:sz="4" w:space="0" w:color="auto"/>
            </w:tcBorders>
            <w:shd w:val="clear" w:color="auto" w:fill="FFFFFF" w:themeFill="background1"/>
          </w:tcPr>
          <w:p w14:paraId="3B385202" w14:textId="09C0571D" w:rsidR="00B6254A" w:rsidRPr="00162386" w:rsidRDefault="00B6254A" w:rsidP="00162386">
            <w:pPr>
              <w:pStyle w:val="COMParaDecision"/>
              <w:numPr>
                <w:ilvl w:val="0"/>
                <w:numId w:val="0"/>
              </w:numPr>
              <w:spacing w:before="40" w:after="40"/>
              <w:jc w:val="left"/>
              <w:rPr>
                <w:u w:val="none"/>
              </w:rPr>
            </w:pPr>
            <w:r>
              <w:rPr>
                <w:u w:val="none"/>
              </w:rPr>
              <w:t>Turkménistan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AAEEFBD" w14:textId="32DAB972" w:rsidR="00B6254A" w:rsidRPr="00162386" w:rsidRDefault="00B6254A"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24301DC6" w14:textId="0C090FF3" w:rsidR="00B6254A" w:rsidRPr="006D7FBA" w:rsidRDefault="00B6254A" w:rsidP="00162386">
            <w:pPr>
              <w:pStyle w:val="COMParaDecision"/>
              <w:numPr>
                <w:ilvl w:val="0"/>
                <w:numId w:val="0"/>
              </w:numPr>
              <w:spacing w:before="40" w:after="40"/>
              <w:jc w:val="left"/>
              <w:rPr>
                <w:u w:val="none"/>
                <w:lang w:val="en-US"/>
              </w:rPr>
            </w:pPr>
            <w:r w:rsidRPr="006D7FBA">
              <w:rPr>
                <w:u w:val="none"/>
                <w:lang w:val="en-US"/>
              </w:rPr>
              <w:t xml:space="preserve">Traditional </w:t>
            </w:r>
            <w:proofErr w:type="spellStart"/>
            <w:r w:rsidRPr="006D7FBA">
              <w:rPr>
                <w:u w:val="none"/>
                <w:lang w:val="en-US"/>
              </w:rPr>
              <w:t>turkmen</w:t>
            </w:r>
            <w:proofErr w:type="spellEnd"/>
            <w:r w:rsidRPr="006D7FBA">
              <w:rPr>
                <w:u w:val="none"/>
                <w:lang w:val="en-US"/>
              </w:rPr>
              <w:t xml:space="preserve"> carpet marking art in Turkmenistan (01486)</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4F2EEFF" w14:textId="52B5A655" w:rsidR="00B6254A" w:rsidRPr="00162386" w:rsidRDefault="00B6254A" w:rsidP="00162386">
            <w:pPr>
              <w:pStyle w:val="COMParaDecision"/>
              <w:numPr>
                <w:ilvl w:val="0"/>
                <w:numId w:val="0"/>
              </w:numPr>
              <w:spacing w:before="40" w:after="40"/>
              <w:jc w:val="left"/>
              <w:rPr>
                <w:u w:val="none"/>
              </w:rPr>
            </w:pPr>
            <w:r>
              <w:rPr>
                <w:u w:val="none"/>
              </w:rPr>
              <w:t>(0) un dossier pour 2018-2019</w:t>
            </w:r>
          </w:p>
        </w:tc>
      </w:tr>
      <w:tr w:rsidR="00EB650B" w:rsidRPr="00162386" w14:paraId="0BDE46E4" w14:textId="77777777" w:rsidTr="006D7FBA">
        <w:tc>
          <w:tcPr>
            <w:tcW w:w="562" w:type="dxa"/>
            <w:shd w:val="clear" w:color="auto" w:fill="FFFFFF" w:themeFill="background1"/>
          </w:tcPr>
          <w:p w14:paraId="6A6A6DAB" w14:textId="3EC1891F" w:rsidR="00B6254A" w:rsidRPr="006D7FBA" w:rsidRDefault="00B6254A" w:rsidP="00162386">
            <w:pPr>
              <w:pStyle w:val="COMParaDecision"/>
              <w:numPr>
                <w:ilvl w:val="0"/>
                <w:numId w:val="0"/>
              </w:numPr>
              <w:spacing w:before="40" w:after="40"/>
              <w:rPr>
                <w:u w:val="none"/>
              </w:rPr>
            </w:pPr>
            <w:r w:rsidRPr="006D7FBA">
              <w:rPr>
                <w:u w:val="none"/>
              </w:rPr>
              <w:t>29</w:t>
            </w:r>
          </w:p>
        </w:tc>
        <w:tc>
          <w:tcPr>
            <w:tcW w:w="2835" w:type="dxa"/>
            <w:tcBorders>
              <w:bottom w:val="nil"/>
              <w:right w:val="single" w:sz="4" w:space="0" w:color="auto"/>
            </w:tcBorders>
            <w:shd w:val="clear" w:color="auto" w:fill="FFFFFF" w:themeFill="background1"/>
          </w:tcPr>
          <w:p w14:paraId="0FFE2C37" w14:textId="0238B15A" w:rsidR="00B6254A" w:rsidRPr="00162386" w:rsidRDefault="00B6254A" w:rsidP="00162386">
            <w:pPr>
              <w:pStyle w:val="COMParaDecision"/>
              <w:numPr>
                <w:ilvl w:val="0"/>
                <w:numId w:val="0"/>
              </w:numPr>
              <w:spacing w:before="40" w:after="40"/>
              <w:jc w:val="left"/>
              <w:rPr>
                <w:u w:val="none"/>
              </w:rPr>
            </w:pPr>
            <w:r>
              <w:rPr>
                <w:u w:val="none"/>
              </w:rPr>
              <w:t>Ukraine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4F2ED75" w14:textId="53F88809" w:rsidR="00B6254A" w:rsidRPr="00162386" w:rsidRDefault="00B6254A"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168C732E" w14:textId="00879FE9" w:rsidR="00B6254A" w:rsidRPr="006D7FBA" w:rsidRDefault="00B6254A" w:rsidP="00162386">
            <w:pPr>
              <w:pStyle w:val="COMParaDecision"/>
              <w:numPr>
                <w:ilvl w:val="0"/>
                <w:numId w:val="0"/>
              </w:numPr>
              <w:spacing w:before="40" w:after="40"/>
              <w:jc w:val="left"/>
              <w:rPr>
                <w:u w:val="none"/>
                <w:lang w:val="en-US"/>
              </w:rPr>
            </w:pPr>
            <w:r w:rsidRPr="006D7FBA">
              <w:rPr>
                <w:u w:val="none"/>
                <w:lang w:val="en-US"/>
              </w:rPr>
              <w:t xml:space="preserve">Tradition of </w:t>
            </w:r>
            <w:proofErr w:type="spellStart"/>
            <w:r w:rsidRPr="006D7FBA">
              <w:rPr>
                <w:u w:val="none"/>
                <w:lang w:val="en-US"/>
              </w:rPr>
              <w:t>Kosiv</w:t>
            </w:r>
            <w:proofErr w:type="spellEnd"/>
            <w:r w:rsidRPr="006D7FBA">
              <w:rPr>
                <w:u w:val="none"/>
                <w:lang w:val="en-US"/>
              </w:rPr>
              <w:t xml:space="preserve"> painted ceramics (01456)</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52B5EBD" w14:textId="6E0E6191" w:rsidR="00B6254A" w:rsidRPr="00162386" w:rsidRDefault="00B6254A" w:rsidP="00162386">
            <w:pPr>
              <w:pStyle w:val="COMParaDecision"/>
              <w:numPr>
                <w:ilvl w:val="0"/>
                <w:numId w:val="0"/>
              </w:numPr>
              <w:spacing w:before="40" w:after="40"/>
              <w:jc w:val="left"/>
              <w:rPr>
                <w:u w:val="none"/>
              </w:rPr>
            </w:pPr>
            <w:r>
              <w:rPr>
                <w:u w:val="none"/>
              </w:rPr>
              <w:t>(0) un dossier pour 2018-2019</w:t>
            </w:r>
          </w:p>
        </w:tc>
      </w:tr>
      <w:tr w:rsidR="00EB650B" w:rsidRPr="00162386" w14:paraId="4860CE87" w14:textId="77777777" w:rsidTr="006D7FBA">
        <w:tc>
          <w:tcPr>
            <w:tcW w:w="562" w:type="dxa"/>
            <w:shd w:val="clear" w:color="auto" w:fill="FFFFFF" w:themeFill="background1"/>
          </w:tcPr>
          <w:p w14:paraId="68B98442" w14:textId="5C0EC6D8" w:rsidR="00B6254A" w:rsidRPr="006D7FBA" w:rsidRDefault="00B6254A" w:rsidP="00162386">
            <w:pPr>
              <w:pStyle w:val="COMParaDecision"/>
              <w:numPr>
                <w:ilvl w:val="0"/>
                <w:numId w:val="0"/>
              </w:numPr>
              <w:spacing w:before="40" w:after="40"/>
              <w:rPr>
                <w:u w:val="none"/>
              </w:rPr>
            </w:pPr>
            <w:r w:rsidRPr="006D7FBA">
              <w:rPr>
                <w:u w:val="none"/>
              </w:rPr>
              <w:t>30</w:t>
            </w:r>
          </w:p>
        </w:tc>
        <w:tc>
          <w:tcPr>
            <w:tcW w:w="2835" w:type="dxa"/>
            <w:tcBorders>
              <w:bottom w:val="nil"/>
              <w:right w:val="single" w:sz="4" w:space="0" w:color="auto"/>
            </w:tcBorders>
            <w:shd w:val="clear" w:color="auto" w:fill="FFFFFF" w:themeFill="background1"/>
          </w:tcPr>
          <w:p w14:paraId="3013CF7D" w14:textId="2D30D20A" w:rsidR="00B6254A" w:rsidRPr="00162386" w:rsidRDefault="00B6254A" w:rsidP="00162386">
            <w:pPr>
              <w:pStyle w:val="COMParaDecision"/>
              <w:numPr>
                <w:ilvl w:val="0"/>
                <w:numId w:val="0"/>
              </w:numPr>
              <w:spacing w:before="40" w:after="40"/>
              <w:jc w:val="left"/>
              <w:rPr>
                <w:u w:val="none"/>
              </w:rPr>
            </w:pPr>
            <w:r>
              <w:rPr>
                <w:u w:val="none"/>
              </w:rPr>
              <w:t>Ouzbékistan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30BBD63" w14:textId="44F68A4C" w:rsidR="00B6254A" w:rsidRPr="00162386" w:rsidRDefault="00B6254A"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746D43AC" w14:textId="41245615" w:rsidR="00B6254A" w:rsidRPr="006D7FBA" w:rsidRDefault="00B6254A" w:rsidP="00162386">
            <w:pPr>
              <w:pStyle w:val="COMParaDecision"/>
              <w:numPr>
                <w:ilvl w:val="0"/>
                <w:numId w:val="0"/>
              </w:numPr>
              <w:spacing w:before="40" w:after="40"/>
              <w:jc w:val="left"/>
              <w:rPr>
                <w:u w:val="none"/>
              </w:rPr>
            </w:pPr>
            <w:proofErr w:type="spellStart"/>
            <w:r w:rsidRPr="006D7FBA">
              <w:rPr>
                <w:u w:val="none"/>
              </w:rPr>
              <w:t>Khorazm</w:t>
            </w:r>
            <w:proofErr w:type="spellEnd"/>
            <w:r w:rsidRPr="006D7FBA">
              <w:rPr>
                <w:u w:val="none"/>
              </w:rPr>
              <w:t xml:space="preserve"> dance - </w:t>
            </w:r>
            <w:proofErr w:type="spellStart"/>
            <w:r w:rsidRPr="006D7FBA">
              <w:rPr>
                <w:u w:val="none"/>
              </w:rPr>
              <w:t>Lazgi</w:t>
            </w:r>
            <w:proofErr w:type="spellEnd"/>
            <w:r w:rsidRPr="006D7FBA">
              <w:rPr>
                <w:u w:val="none"/>
              </w:rPr>
              <w:t xml:space="preserve"> (01364)</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ECA0CFB" w14:textId="2A07409E" w:rsidR="00B6254A" w:rsidRPr="00162386" w:rsidRDefault="00B6254A" w:rsidP="00162386">
            <w:pPr>
              <w:pStyle w:val="COMParaDecision"/>
              <w:numPr>
                <w:ilvl w:val="0"/>
                <w:numId w:val="0"/>
              </w:numPr>
              <w:spacing w:before="40" w:after="40"/>
              <w:jc w:val="left"/>
              <w:rPr>
                <w:u w:val="none"/>
              </w:rPr>
            </w:pPr>
            <w:r>
              <w:rPr>
                <w:u w:val="none"/>
              </w:rPr>
              <w:t>(0) un dossier pour 2018-2019</w:t>
            </w:r>
          </w:p>
        </w:tc>
      </w:tr>
      <w:tr w:rsidR="00EB650B" w:rsidRPr="00162386" w14:paraId="337D861F" w14:textId="77777777" w:rsidTr="006D7FBA">
        <w:tc>
          <w:tcPr>
            <w:tcW w:w="562" w:type="dxa"/>
            <w:shd w:val="clear" w:color="auto" w:fill="FFFFFF" w:themeFill="background1"/>
          </w:tcPr>
          <w:p w14:paraId="4BC26806" w14:textId="53A38E14" w:rsidR="00B6254A" w:rsidRPr="006D7FBA" w:rsidRDefault="00B6254A" w:rsidP="00162386">
            <w:pPr>
              <w:pStyle w:val="COMParaDecision"/>
              <w:numPr>
                <w:ilvl w:val="0"/>
                <w:numId w:val="0"/>
              </w:numPr>
              <w:spacing w:before="40" w:after="40"/>
              <w:rPr>
                <w:u w:val="none"/>
              </w:rPr>
            </w:pPr>
            <w:r w:rsidRPr="006D7FBA">
              <w:rPr>
                <w:u w:val="none"/>
              </w:rPr>
              <w:t>31</w:t>
            </w:r>
          </w:p>
        </w:tc>
        <w:tc>
          <w:tcPr>
            <w:tcW w:w="2835" w:type="dxa"/>
            <w:tcBorders>
              <w:bottom w:val="nil"/>
              <w:right w:val="single" w:sz="4" w:space="0" w:color="auto"/>
            </w:tcBorders>
            <w:shd w:val="clear" w:color="auto" w:fill="FFFFFF" w:themeFill="background1"/>
          </w:tcPr>
          <w:p w14:paraId="7C1D7DC0" w14:textId="0DA0CB35" w:rsidR="00B6254A" w:rsidRPr="00162386" w:rsidRDefault="00B6254A" w:rsidP="00162386">
            <w:pPr>
              <w:pStyle w:val="COMParaDecision"/>
              <w:numPr>
                <w:ilvl w:val="0"/>
                <w:numId w:val="0"/>
              </w:numPr>
              <w:spacing w:before="40" w:after="40"/>
              <w:jc w:val="left"/>
              <w:rPr>
                <w:u w:val="none"/>
              </w:rPr>
            </w:pPr>
            <w:r>
              <w:rPr>
                <w:u w:val="none"/>
              </w:rPr>
              <w:t>Venezuela (République bolivarienne du)</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26E2B36" w14:textId="736C01CE" w:rsidR="00B6254A" w:rsidRPr="00162386" w:rsidRDefault="008F7D2B" w:rsidP="00162386">
            <w:pPr>
              <w:pStyle w:val="COMParaDecision"/>
              <w:numPr>
                <w:ilvl w:val="0"/>
                <w:numId w:val="0"/>
              </w:numPr>
              <w:spacing w:before="40" w:after="40"/>
              <w:jc w:val="left"/>
              <w:rPr>
                <w:u w:val="none"/>
              </w:rPr>
            </w:pPr>
            <w:r>
              <w:rPr>
                <w:u w:val="none"/>
              </w:rPr>
              <w:t>B</w:t>
            </w:r>
            <w:r w:rsidR="00B6254A">
              <w:rPr>
                <w:u w:val="none"/>
              </w:rPr>
              <w:t>PS</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277C5EDB" w14:textId="61919DEC" w:rsidR="00B6254A" w:rsidRPr="006D7FBA" w:rsidRDefault="00B6254A" w:rsidP="00162386">
            <w:pPr>
              <w:pStyle w:val="COMParaDecision"/>
              <w:numPr>
                <w:ilvl w:val="0"/>
                <w:numId w:val="0"/>
              </w:numPr>
              <w:spacing w:before="40" w:after="40"/>
              <w:jc w:val="left"/>
              <w:rPr>
                <w:u w:val="none"/>
                <w:lang w:val="en-US"/>
              </w:rPr>
            </w:pPr>
            <w:proofErr w:type="spellStart"/>
            <w:r w:rsidRPr="006D7FBA">
              <w:rPr>
                <w:u w:val="none"/>
                <w:lang w:val="en-US"/>
              </w:rPr>
              <w:t>Biocultural</w:t>
            </w:r>
            <w:proofErr w:type="spellEnd"/>
            <w:r w:rsidRPr="006D7FBA">
              <w:rPr>
                <w:u w:val="none"/>
                <w:lang w:val="en-US"/>
              </w:rPr>
              <w:t xml:space="preserve"> </w:t>
            </w:r>
            <w:proofErr w:type="spellStart"/>
            <w:r w:rsidRPr="006D7FBA">
              <w:rPr>
                <w:u w:val="none"/>
                <w:lang w:val="en-US"/>
              </w:rPr>
              <w:t>programme</w:t>
            </w:r>
            <w:proofErr w:type="spellEnd"/>
            <w:r w:rsidRPr="006D7FBA">
              <w:rPr>
                <w:u w:val="none"/>
                <w:lang w:val="en-US"/>
              </w:rPr>
              <w:t xml:space="preserve"> for the safeguarding of the tradition of the Blessed Palm in Venezuela (01464)</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94FBFCA" w14:textId="2A6445AC" w:rsidR="00B6254A" w:rsidRPr="00162386" w:rsidRDefault="00B6254A" w:rsidP="00162386">
            <w:pPr>
              <w:pStyle w:val="COMParaDecision"/>
              <w:numPr>
                <w:ilvl w:val="0"/>
                <w:numId w:val="0"/>
              </w:numPr>
              <w:spacing w:before="40" w:after="40"/>
              <w:jc w:val="left"/>
              <w:rPr>
                <w:u w:val="none"/>
              </w:rPr>
            </w:pPr>
            <w:r>
              <w:rPr>
                <w:u w:val="none"/>
              </w:rPr>
              <w:t>(0) un dossier pour 2018-2019</w:t>
            </w:r>
          </w:p>
        </w:tc>
      </w:tr>
      <w:tr w:rsidR="00EB650B" w:rsidRPr="00162386" w14:paraId="4B1E9360" w14:textId="77777777" w:rsidTr="006D7FBA">
        <w:tc>
          <w:tcPr>
            <w:tcW w:w="562" w:type="dxa"/>
            <w:shd w:val="clear" w:color="auto" w:fill="FFFFFF" w:themeFill="background1"/>
          </w:tcPr>
          <w:p w14:paraId="1DEFB2AB" w14:textId="6C8F3FC9" w:rsidR="00B6254A" w:rsidRPr="006D7FBA" w:rsidRDefault="00B6254A" w:rsidP="00162386">
            <w:pPr>
              <w:pStyle w:val="COMParaDecision"/>
              <w:numPr>
                <w:ilvl w:val="0"/>
                <w:numId w:val="0"/>
              </w:numPr>
              <w:spacing w:before="40" w:after="40"/>
              <w:rPr>
                <w:u w:val="none"/>
              </w:rPr>
            </w:pPr>
            <w:r w:rsidRPr="006D7FBA">
              <w:rPr>
                <w:u w:val="none"/>
              </w:rPr>
              <w:t>32</w:t>
            </w:r>
          </w:p>
        </w:tc>
        <w:tc>
          <w:tcPr>
            <w:tcW w:w="2835" w:type="dxa"/>
            <w:tcBorders>
              <w:bottom w:val="nil"/>
              <w:right w:val="single" w:sz="4" w:space="0" w:color="auto"/>
            </w:tcBorders>
            <w:shd w:val="clear" w:color="auto" w:fill="FFFFFF" w:themeFill="background1"/>
          </w:tcPr>
          <w:p w14:paraId="0FA60B63" w14:textId="2E244C86" w:rsidR="00B6254A" w:rsidRPr="00162386" w:rsidRDefault="00B6254A" w:rsidP="00162386">
            <w:pPr>
              <w:pStyle w:val="COMParaDecision"/>
              <w:numPr>
                <w:ilvl w:val="0"/>
                <w:numId w:val="0"/>
              </w:numPr>
              <w:spacing w:before="40" w:after="40"/>
              <w:jc w:val="left"/>
              <w:rPr>
                <w:u w:val="none"/>
              </w:rPr>
            </w:pPr>
            <w:r>
              <w:rPr>
                <w:u w:val="none"/>
              </w:rPr>
              <w:t>Viet Nam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00F9075" w14:textId="419873D1" w:rsidR="00B6254A" w:rsidRPr="00162386" w:rsidRDefault="00B6254A"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2025BAE3" w14:textId="109FE92D" w:rsidR="00B6254A" w:rsidRPr="006D7FBA" w:rsidRDefault="00B6254A" w:rsidP="00162386">
            <w:pPr>
              <w:pStyle w:val="COMParaDecision"/>
              <w:numPr>
                <w:ilvl w:val="0"/>
                <w:numId w:val="0"/>
              </w:numPr>
              <w:spacing w:before="40" w:after="40"/>
              <w:jc w:val="left"/>
              <w:rPr>
                <w:u w:val="none"/>
                <w:lang w:val="en-US"/>
              </w:rPr>
            </w:pPr>
            <w:r w:rsidRPr="006D7FBA">
              <w:rPr>
                <w:u w:val="none"/>
                <w:lang w:val="en-US"/>
              </w:rPr>
              <w:t xml:space="preserve">Practices of Then by </w:t>
            </w:r>
            <w:proofErr w:type="spellStart"/>
            <w:r w:rsidRPr="006D7FBA">
              <w:rPr>
                <w:u w:val="none"/>
                <w:lang w:val="en-US"/>
              </w:rPr>
              <w:t>Tày</w:t>
            </w:r>
            <w:proofErr w:type="spellEnd"/>
            <w:r w:rsidRPr="006D7FBA">
              <w:rPr>
                <w:u w:val="none"/>
                <w:lang w:val="en-US"/>
              </w:rPr>
              <w:t xml:space="preserve">, </w:t>
            </w:r>
            <w:proofErr w:type="spellStart"/>
            <w:r w:rsidRPr="006D7FBA">
              <w:rPr>
                <w:u w:val="none"/>
                <w:lang w:val="en-US"/>
              </w:rPr>
              <w:t>Nùng</w:t>
            </w:r>
            <w:proofErr w:type="spellEnd"/>
            <w:r w:rsidRPr="006D7FBA">
              <w:rPr>
                <w:u w:val="none"/>
                <w:lang w:val="en-US"/>
              </w:rPr>
              <w:t xml:space="preserve"> and </w:t>
            </w:r>
            <w:proofErr w:type="spellStart"/>
            <w:r w:rsidRPr="006D7FBA">
              <w:rPr>
                <w:u w:val="none"/>
                <w:lang w:val="en-US"/>
              </w:rPr>
              <w:t>Thái</w:t>
            </w:r>
            <w:proofErr w:type="spellEnd"/>
            <w:r w:rsidRPr="006D7FBA">
              <w:rPr>
                <w:u w:val="none"/>
                <w:lang w:val="en-US"/>
              </w:rPr>
              <w:t xml:space="preserve"> ethnic groups in Viet Nam (01379)</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27F5CF8" w14:textId="61C12B6D" w:rsidR="00B6254A" w:rsidRPr="00162386" w:rsidRDefault="00B6254A" w:rsidP="00162386">
            <w:pPr>
              <w:pStyle w:val="COMParaDecision"/>
              <w:numPr>
                <w:ilvl w:val="0"/>
                <w:numId w:val="0"/>
              </w:numPr>
              <w:spacing w:before="40" w:after="40"/>
              <w:jc w:val="left"/>
              <w:rPr>
                <w:u w:val="none"/>
              </w:rPr>
            </w:pPr>
            <w:r>
              <w:rPr>
                <w:u w:val="none"/>
              </w:rPr>
              <w:t>(0) un dossier pour 2018-2019</w:t>
            </w:r>
          </w:p>
        </w:tc>
      </w:tr>
      <w:tr w:rsidR="00EB650B" w:rsidRPr="00162386" w14:paraId="50C0F0F2" w14:textId="77777777" w:rsidTr="006D7FBA">
        <w:tc>
          <w:tcPr>
            <w:tcW w:w="562" w:type="dxa"/>
            <w:shd w:val="clear" w:color="auto" w:fill="FFFFFF" w:themeFill="background1"/>
          </w:tcPr>
          <w:p w14:paraId="4A28EDEB" w14:textId="0B32913A" w:rsidR="00B6254A" w:rsidRPr="006D7FBA" w:rsidRDefault="00B6254A" w:rsidP="00162386">
            <w:pPr>
              <w:pStyle w:val="COMParaDecision"/>
              <w:numPr>
                <w:ilvl w:val="0"/>
                <w:numId w:val="0"/>
              </w:numPr>
              <w:spacing w:before="40" w:after="40"/>
              <w:rPr>
                <w:u w:val="none"/>
              </w:rPr>
            </w:pPr>
            <w:r w:rsidRPr="006D7FBA">
              <w:rPr>
                <w:u w:val="none"/>
              </w:rPr>
              <w:t>33</w:t>
            </w:r>
          </w:p>
        </w:tc>
        <w:tc>
          <w:tcPr>
            <w:tcW w:w="2835" w:type="dxa"/>
            <w:tcBorders>
              <w:bottom w:val="nil"/>
              <w:right w:val="single" w:sz="4" w:space="0" w:color="auto"/>
            </w:tcBorders>
            <w:shd w:val="clear" w:color="auto" w:fill="FFFFFF" w:themeFill="background1"/>
          </w:tcPr>
          <w:p w14:paraId="1F3C318E" w14:textId="77058A14" w:rsidR="00B6254A" w:rsidRPr="00162386" w:rsidRDefault="00B6254A" w:rsidP="00162386">
            <w:pPr>
              <w:pStyle w:val="COMParaDecision"/>
              <w:numPr>
                <w:ilvl w:val="0"/>
                <w:numId w:val="0"/>
              </w:numPr>
              <w:spacing w:before="40" w:after="40"/>
              <w:jc w:val="left"/>
              <w:rPr>
                <w:u w:val="none"/>
              </w:rPr>
            </w:pPr>
            <w:r>
              <w:rPr>
                <w:u w:val="none"/>
              </w:rPr>
              <w:t>Monténégro</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345DE9D" w14:textId="2A8F097E" w:rsidR="00B6254A" w:rsidRPr="00162386" w:rsidRDefault="00B6254A"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0A7A1890" w14:textId="4C6BF3B9" w:rsidR="00B6254A" w:rsidRPr="006D7FBA" w:rsidRDefault="00B6254A" w:rsidP="00162386">
            <w:pPr>
              <w:pStyle w:val="COMParaDecision"/>
              <w:numPr>
                <w:ilvl w:val="0"/>
                <w:numId w:val="0"/>
              </w:numPr>
              <w:spacing w:before="40" w:after="40"/>
              <w:jc w:val="left"/>
              <w:rPr>
                <w:u w:val="none"/>
                <w:lang w:val="en-US"/>
              </w:rPr>
            </w:pPr>
            <w:proofErr w:type="spellStart"/>
            <w:r w:rsidRPr="006D7FBA">
              <w:rPr>
                <w:u w:val="none"/>
                <w:lang w:val="en-US"/>
              </w:rPr>
              <w:t>Boka</w:t>
            </w:r>
            <w:proofErr w:type="spellEnd"/>
            <w:r w:rsidRPr="006D7FBA">
              <w:rPr>
                <w:u w:val="none"/>
                <w:lang w:val="en-US"/>
              </w:rPr>
              <w:t xml:space="preserve"> Navy, traditional maritime organization (01507)</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90CF288" w14:textId="6471EEF3" w:rsidR="00B6254A" w:rsidRPr="00162386" w:rsidRDefault="00B6254A" w:rsidP="00162386">
            <w:pPr>
              <w:pStyle w:val="COMParaDecision"/>
              <w:numPr>
                <w:ilvl w:val="0"/>
                <w:numId w:val="0"/>
              </w:numPr>
              <w:spacing w:before="40" w:after="40"/>
              <w:jc w:val="left"/>
              <w:rPr>
                <w:u w:val="none"/>
              </w:rPr>
            </w:pPr>
            <w:r>
              <w:rPr>
                <w:u w:val="none"/>
              </w:rPr>
              <w:t>(i) aucun élément inscrit</w:t>
            </w:r>
          </w:p>
        </w:tc>
      </w:tr>
      <w:tr w:rsidR="00EB650B" w:rsidRPr="00162386" w14:paraId="4BFB10C0" w14:textId="77777777" w:rsidTr="006D7FBA">
        <w:tc>
          <w:tcPr>
            <w:tcW w:w="562" w:type="dxa"/>
            <w:shd w:val="clear" w:color="auto" w:fill="FFFFFF" w:themeFill="background1"/>
          </w:tcPr>
          <w:p w14:paraId="4D4A5D30" w14:textId="1AEF4401" w:rsidR="00B6254A" w:rsidRPr="006D7FBA" w:rsidRDefault="00B6254A" w:rsidP="00162386">
            <w:pPr>
              <w:pStyle w:val="COMParaDecision"/>
              <w:numPr>
                <w:ilvl w:val="0"/>
                <w:numId w:val="0"/>
              </w:numPr>
              <w:spacing w:before="40" w:after="40"/>
              <w:rPr>
                <w:u w:val="none"/>
              </w:rPr>
            </w:pPr>
            <w:r w:rsidRPr="006D7FBA">
              <w:rPr>
                <w:u w:val="none"/>
              </w:rPr>
              <w:t>34</w:t>
            </w:r>
          </w:p>
        </w:tc>
        <w:tc>
          <w:tcPr>
            <w:tcW w:w="2835" w:type="dxa"/>
            <w:tcBorders>
              <w:bottom w:val="nil"/>
              <w:right w:val="single" w:sz="4" w:space="0" w:color="auto"/>
            </w:tcBorders>
            <w:shd w:val="clear" w:color="auto" w:fill="FFFFFF" w:themeFill="background1"/>
          </w:tcPr>
          <w:p w14:paraId="38E5CB5C" w14:textId="37F6FA86" w:rsidR="00B6254A" w:rsidRPr="00162386" w:rsidRDefault="00B6254A" w:rsidP="00162386">
            <w:pPr>
              <w:pStyle w:val="COMParaDecision"/>
              <w:numPr>
                <w:ilvl w:val="0"/>
                <w:numId w:val="0"/>
              </w:numPr>
              <w:spacing w:before="40" w:after="40"/>
              <w:jc w:val="left"/>
              <w:rPr>
                <w:u w:val="none"/>
              </w:rPr>
            </w:pPr>
            <w:r>
              <w:rPr>
                <w:u w:val="none"/>
              </w:rPr>
              <w:t>République arabe syrienne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2B768DA" w14:textId="18F5CB50" w:rsidR="00B6254A" w:rsidRPr="00162386" w:rsidRDefault="00B6254A"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313E6AA2" w14:textId="288578D5" w:rsidR="00B6254A" w:rsidRPr="006D7FBA" w:rsidRDefault="00B6254A" w:rsidP="00162386">
            <w:pPr>
              <w:pStyle w:val="COMParaDecision"/>
              <w:numPr>
                <w:ilvl w:val="0"/>
                <w:numId w:val="0"/>
              </w:numPr>
              <w:spacing w:before="40" w:after="40"/>
              <w:jc w:val="left"/>
              <w:rPr>
                <w:u w:val="none"/>
                <w:lang w:val="en-US"/>
              </w:rPr>
            </w:pPr>
            <w:r w:rsidRPr="006D7FBA">
              <w:rPr>
                <w:u w:val="none"/>
                <w:lang w:val="en-US"/>
              </w:rPr>
              <w:t>Practices and craftsmanship associated with the Damask rose in Al-Marah (01369)</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28D90DC" w14:textId="237942C5" w:rsidR="00B6254A" w:rsidRPr="00162386" w:rsidRDefault="00B6254A" w:rsidP="00162386">
            <w:pPr>
              <w:pStyle w:val="COMParaDecision"/>
              <w:numPr>
                <w:ilvl w:val="0"/>
                <w:numId w:val="0"/>
              </w:numPr>
              <w:spacing w:before="40" w:after="40"/>
              <w:jc w:val="left"/>
              <w:rPr>
                <w:u w:val="none"/>
              </w:rPr>
            </w:pPr>
            <w:r>
              <w:rPr>
                <w:u w:val="none"/>
              </w:rPr>
              <w:t>(i) aucun élément inscrit</w:t>
            </w:r>
          </w:p>
        </w:tc>
      </w:tr>
      <w:tr w:rsidR="00EB650B" w:rsidRPr="00162386" w14:paraId="7D2D60CA" w14:textId="5AB6022F" w:rsidTr="006D7FBA">
        <w:tc>
          <w:tcPr>
            <w:tcW w:w="562" w:type="dxa"/>
            <w:shd w:val="clear" w:color="auto" w:fill="FFFFFF" w:themeFill="background1"/>
          </w:tcPr>
          <w:p w14:paraId="76C53D4E" w14:textId="42F970BA" w:rsidR="00B6254A" w:rsidRPr="006D7FBA" w:rsidRDefault="00B6254A" w:rsidP="00162386">
            <w:pPr>
              <w:pStyle w:val="COMParaDecision"/>
              <w:numPr>
                <w:ilvl w:val="0"/>
                <w:numId w:val="0"/>
              </w:numPr>
              <w:spacing w:before="40" w:after="40"/>
              <w:jc w:val="left"/>
              <w:rPr>
                <w:u w:val="none"/>
              </w:rPr>
            </w:pPr>
            <w:r w:rsidRPr="006D7FBA">
              <w:rPr>
                <w:u w:val="none"/>
              </w:rPr>
              <w:t>35</w:t>
            </w:r>
          </w:p>
        </w:tc>
        <w:tc>
          <w:tcPr>
            <w:tcW w:w="2835" w:type="dxa"/>
            <w:tcBorders>
              <w:bottom w:val="nil"/>
              <w:right w:val="single" w:sz="4" w:space="0" w:color="auto"/>
            </w:tcBorders>
            <w:shd w:val="clear" w:color="auto" w:fill="FFFFFF" w:themeFill="background1"/>
          </w:tcPr>
          <w:p w14:paraId="07CDC862" w14:textId="5D6417A1" w:rsidR="00B6254A" w:rsidRPr="00162386" w:rsidRDefault="00B6254A" w:rsidP="00162386">
            <w:pPr>
              <w:pStyle w:val="COMParaDecision"/>
              <w:numPr>
                <w:ilvl w:val="0"/>
                <w:numId w:val="0"/>
              </w:numPr>
              <w:spacing w:before="40" w:after="40"/>
              <w:jc w:val="left"/>
              <w:rPr>
                <w:u w:val="none"/>
              </w:rPr>
            </w:pPr>
            <w:r>
              <w:rPr>
                <w:u w:val="none"/>
              </w:rPr>
              <w:t>Thaïlande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C8D1291" w14:textId="63EB6609" w:rsidR="00B6254A" w:rsidRPr="00162386" w:rsidRDefault="00B6254A"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4B0E4301" w14:textId="58B64C59" w:rsidR="00B6254A" w:rsidRPr="006D7FBA" w:rsidRDefault="00B6254A" w:rsidP="00162386">
            <w:pPr>
              <w:pStyle w:val="COMParaDecision"/>
              <w:numPr>
                <w:ilvl w:val="0"/>
                <w:numId w:val="0"/>
              </w:numPr>
              <w:spacing w:before="40" w:after="40"/>
              <w:jc w:val="left"/>
              <w:rPr>
                <w:u w:val="none"/>
              </w:rPr>
            </w:pPr>
            <w:proofErr w:type="spellStart"/>
            <w:r w:rsidRPr="006D7FBA">
              <w:rPr>
                <w:u w:val="none"/>
              </w:rPr>
              <w:t>Nuad</w:t>
            </w:r>
            <w:proofErr w:type="spellEnd"/>
            <w:r w:rsidRPr="006D7FBA">
              <w:rPr>
                <w:u w:val="none"/>
              </w:rPr>
              <w:t xml:space="preserve"> </w:t>
            </w:r>
            <w:proofErr w:type="spellStart"/>
            <w:r w:rsidRPr="006D7FBA">
              <w:rPr>
                <w:u w:val="none"/>
              </w:rPr>
              <w:t>thai</w:t>
            </w:r>
            <w:proofErr w:type="spellEnd"/>
            <w:r w:rsidRPr="006D7FBA">
              <w:rPr>
                <w:u w:val="none"/>
              </w:rPr>
              <w:t xml:space="preserve">, </w:t>
            </w:r>
            <w:proofErr w:type="spellStart"/>
            <w:r w:rsidRPr="006D7FBA">
              <w:rPr>
                <w:u w:val="none"/>
              </w:rPr>
              <w:t>traditional</w:t>
            </w:r>
            <w:proofErr w:type="spellEnd"/>
            <w:r w:rsidRPr="006D7FBA">
              <w:rPr>
                <w:u w:val="none"/>
              </w:rPr>
              <w:t xml:space="preserve"> </w:t>
            </w:r>
            <w:proofErr w:type="spellStart"/>
            <w:r w:rsidRPr="006D7FBA">
              <w:rPr>
                <w:u w:val="none"/>
              </w:rPr>
              <w:t>thai</w:t>
            </w:r>
            <w:proofErr w:type="spellEnd"/>
            <w:r w:rsidRPr="006D7FBA">
              <w:rPr>
                <w:u w:val="none"/>
              </w:rPr>
              <w:t xml:space="preserve"> massage (01384)</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37EB6D2" w14:textId="649BCD71" w:rsidR="00B6254A" w:rsidRPr="00162386" w:rsidRDefault="00B6254A" w:rsidP="00162386">
            <w:pPr>
              <w:pStyle w:val="COMParaDecision"/>
              <w:numPr>
                <w:ilvl w:val="0"/>
                <w:numId w:val="0"/>
              </w:numPr>
              <w:spacing w:before="40" w:after="40"/>
              <w:jc w:val="left"/>
              <w:rPr>
                <w:u w:val="none"/>
              </w:rPr>
            </w:pPr>
            <w:r>
              <w:rPr>
                <w:u w:val="none"/>
              </w:rPr>
              <w:t>(i) aucun élément inscrit</w:t>
            </w:r>
          </w:p>
        </w:tc>
      </w:tr>
      <w:tr w:rsidR="00EB650B" w:rsidRPr="00162386" w14:paraId="52494FBD" w14:textId="77777777" w:rsidTr="006D7FBA">
        <w:tc>
          <w:tcPr>
            <w:tcW w:w="562" w:type="dxa"/>
            <w:shd w:val="clear" w:color="auto" w:fill="FFFFFF" w:themeFill="background1"/>
          </w:tcPr>
          <w:p w14:paraId="7C4EFB6C" w14:textId="6FDB4402" w:rsidR="00B6254A" w:rsidRPr="006D7FBA" w:rsidRDefault="00B6254A" w:rsidP="00162386">
            <w:pPr>
              <w:pStyle w:val="COMParaDecision"/>
              <w:numPr>
                <w:ilvl w:val="0"/>
                <w:numId w:val="0"/>
              </w:numPr>
              <w:spacing w:before="40" w:after="40"/>
              <w:jc w:val="left"/>
              <w:rPr>
                <w:u w:val="none"/>
              </w:rPr>
            </w:pPr>
            <w:r w:rsidRPr="006D7FBA">
              <w:rPr>
                <w:u w:val="none"/>
              </w:rPr>
              <w:t>36</w:t>
            </w:r>
          </w:p>
        </w:tc>
        <w:tc>
          <w:tcPr>
            <w:tcW w:w="2835" w:type="dxa"/>
            <w:tcBorders>
              <w:bottom w:val="nil"/>
              <w:right w:val="single" w:sz="4" w:space="0" w:color="auto"/>
            </w:tcBorders>
            <w:shd w:val="clear" w:color="auto" w:fill="FFFFFF" w:themeFill="background1"/>
          </w:tcPr>
          <w:p w14:paraId="7D106A1F" w14:textId="7A012564" w:rsidR="00B6254A" w:rsidRPr="00162386" w:rsidRDefault="00B6254A" w:rsidP="00162386">
            <w:pPr>
              <w:pStyle w:val="COMParaDecision"/>
              <w:numPr>
                <w:ilvl w:val="0"/>
                <w:numId w:val="0"/>
              </w:numPr>
              <w:spacing w:before="40" w:after="40"/>
              <w:jc w:val="left"/>
              <w:rPr>
                <w:u w:val="none"/>
              </w:rPr>
            </w:pPr>
            <w:r>
              <w:rPr>
                <w:u w:val="none"/>
              </w:rPr>
              <w:t>Bélarus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9C42C42" w14:textId="190461FF" w:rsidR="00B6254A" w:rsidRPr="00162386" w:rsidRDefault="00B6254A" w:rsidP="00162386">
            <w:pPr>
              <w:pStyle w:val="COMParaDecision"/>
              <w:numPr>
                <w:ilvl w:val="0"/>
                <w:numId w:val="0"/>
              </w:numPr>
              <w:spacing w:before="40" w:after="40"/>
              <w:jc w:val="left"/>
              <w:rPr>
                <w:u w:val="none"/>
              </w:rPr>
            </w:pPr>
            <w:r>
              <w:rPr>
                <w:u w:val="none"/>
              </w:rPr>
              <w:t>LSU</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75E2C9B3" w14:textId="58302011" w:rsidR="00B6254A" w:rsidRPr="006D7FBA" w:rsidRDefault="00B6254A" w:rsidP="00162386">
            <w:pPr>
              <w:pStyle w:val="COMParaDecision"/>
              <w:numPr>
                <w:ilvl w:val="0"/>
                <w:numId w:val="0"/>
              </w:numPr>
              <w:spacing w:before="40" w:after="40"/>
              <w:jc w:val="left"/>
              <w:rPr>
                <w:u w:val="none"/>
                <w:lang w:val="en-US"/>
              </w:rPr>
            </w:pPr>
            <w:r w:rsidRPr="006D7FBA">
              <w:rPr>
                <w:u w:val="none"/>
                <w:lang w:val="en-US"/>
              </w:rPr>
              <w:t xml:space="preserve">Spring rite of </w:t>
            </w:r>
            <w:proofErr w:type="spellStart"/>
            <w:r w:rsidRPr="006D7FBA">
              <w:rPr>
                <w:u w:val="none"/>
                <w:lang w:val="en-US"/>
              </w:rPr>
              <w:t>Juraŭski</w:t>
            </w:r>
            <w:proofErr w:type="spellEnd"/>
            <w:r w:rsidRPr="006D7FBA">
              <w:rPr>
                <w:u w:val="none"/>
                <w:lang w:val="en-US"/>
              </w:rPr>
              <w:t xml:space="preserve"> </w:t>
            </w:r>
            <w:proofErr w:type="spellStart"/>
            <w:r w:rsidRPr="006D7FBA">
              <w:rPr>
                <w:u w:val="none"/>
                <w:lang w:val="en-US"/>
              </w:rPr>
              <w:t>Karahod</w:t>
            </w:r>
            <w:proofErr w:type="spellEnd"/>
            <w:r w:rsidRPr="006D7FBA">
              <w:rPr>
                <w:u w:val="none"/>
                <w:lang w:val="en-US"/>
              </w:rPr>
              <w:t xml:space="preserve"> (01458)</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860BD42" w14:textId="494B215D" w:rsidR="00B6254A" w:rsidRPr="00162386" w:rsidRDefault="00B6254A" w:rsidP="00162386">
            <w:pPr>
              <w:pStyle w:val="COMParaDecision"/>
              <w:numPr>
                <w:ilvl w:val="0"/>
                <w:numId w:val="0"/>
              </w:numPr>
              <w:spacing w:before="40" w:after="40"/>
              <w:jc w:val="left"/>
              <w:rPr>
                <w:u w:val="none"/>
              </w:rPr>
            </w:pPr>
            <w:r>
              <w:rPr>
                <w:u w:val="none"/>
              </w:rPr>
              <w:t>(i) candidature pour la LSU</w:t>
            </w:r>
          </w:p>
        </w:tc>
      </w:tr>
      <w:tr w:rsidR="00EB650B" w:rsidRPr="00162386" w14:paraId="4745C44A" w14:textId="77777777" w:rsidTr="006D7FBA">
        <w:tc>
          <w:tcPr>
            <w:tcW w:w="562" w:type="dxa"/>
            <w:shd w:val="clear" w:color="auto" w:fill="FFFFFF" w:themeFill="background1"/>
          </w:tcPr>
          <w:p w14:paraId="11937C23" w14:textId="76F0A104" w:rsidR="00B6254A" w:rsidRPr="006D7FBA" w:rsidRDefault="00B6254A" w:rsidP="00162386">
            <w:pPr>
              <w:pStyle w:val="COMParaDecision"/>
              <w:numPr>
                <w:ilvl w:val="0"/>
                <w:numId w:val="0"/>
              </w:numPr>
              <w:spacing w:before="40" w:after="40"/>
              <w:jc w:val="left"/>
              <w:rPr>
                <w:u w:val="none"/>
              </w:rPr>
            </w:pPr>
            <w:r w:rsidRPr="006D7FBA">
              <w:rPr>
                <w:u w:val="none"/>
              </w:rPr>
              <w:t>37</w:t>
            </w:r>
          </w:p>
        </w:tc>
        <w:tc>
          <w:tcPr>
            <w:tcW w:w="2835" w:type="dxa"/>
            <w:tcBorders>
              <w:bottom w:val="nil"/>
              <w:right w:val="single" w:sz="4" w:space="0" w:color="auto"/>
            </w:tcBorders>
            <w:shd w:val="clear" w:color="auto" w:fill="FFFFFF" w:themeFill="background1"/>
          </w:tcPr>
          <w:p w14:paraId="620DF86B" w14:textId="4595F624" w:rsidR="00B6254A" w:rsidRPr="00162386" w:rsidRDefault="00B6254A" w:rsidP="00162386">
            <w:pPr>
              <w:pStyle w:val="COMParaDecision"/>
              <w:numPr>
                <w:ilvl w:val="0"/>
                <w:numId w:val="0"/>
              </w:numPr>
              <w:spacing w:before="40" w:after="40"/>
              <w:jc w:val="left"/>
              <w:rPr>
                <w:u w:val="none"/>
              </w:rPr>
            </w:pPr>
            <w:r>
              <w:rPr>
                <w:u w:val="none"/>
              </w:rPr>
              <w:t>Botswana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D00196E" w14:textId="2510A264" w:rsidR="00B6254A" w:rsidRPr="00162386" w:rsidRDefault="00B6254A" w:rsidP="00162386">
            <w:pPr>
              <w:pStyle w:val="COMParaDecision"/>
              <w:numPr>
                <w:ilvl w:val="0"/>
                <w:numId w:val="0"/>
              </w:numPr>
              <w:spacing w:before="40" w:after="40"/>
              <w:jc w:val="left"/>
              <w:rPr>
                <w:u w:val="none"/>
              </w:rPr>
            </w:pPr>
            <w:r>
              <w:rPr>
                <w:u w:val="none"/>
              </w:rPr>
              <w:t>LSU</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17DC74C5" w14:textId="0A328B9B" w:rsidR="00B6254A" w:rsidRPr="006D7FBA" w:rsidRDefault="00B6254A" w:rsidP="00162386">
            <w:pPr>
              <w:pStyle w:val="COMParaDecision"/>
              <w:numPr>
                <w:ilvl w:val="0"/>
                <w:numId w:val="0"/>
              </w:numPr>
              <w:spacing w:before="40" w:after="40"/>
              <w:jc w:val="left"/>
              <w:rPr>
                <w:u w:val="none"/>
                <w:lang w:val="en-US"/>
              </w:rPr>
            </w:pPr>
            <w:proofErr w:type="spellStart"/>
            <w:r w:rsidRPr="006D7FBA">
              <w:rPr>
                <w:u w:val="none"/>
                <w:lang w:val="en-US"/>
              </w:rPr>
              <w:t>Seperu</w:t>
            </w:r>
            <w:proofErr w:type="spellEnd"/>
            <w:r w:rsidRPr="006D7FBA">
              <w:rPr>
                <w:u w:val="none"/>
                <w:lang w:val="en-US"/>
              </w:rPr>
              <w:t xml:space="preserve"> folkdance and associated practices (01502)</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F785AF1" w14:textId="69C1A005" w:rsidR="00B6254A" w:rsidRPr="00162386" w:rsidRDefault="00B6254A" w:rsidP="00162386">
            <w:pPr>
              <w:pStyle w:val="COMParaDecision"/>
              <w:numPr>
                <w:ilvl w:val="0"/>
                <w:numId w:val="0"/>
              </w:numPr>
              <w:spacing w:before="40" w:after="40"/>
              <w:jc w:val="left"/>
              <w:rPr>
                <w:u w:val="none"/>
              </w:rPr>
            </w:pPr>
            <w:r>
              <w:rPr>
                <w:u w:val="none"/>
              </w:rPr>
              <w:t>(i) candidature pour la LSU</w:t>
            </w:r>
          </w:p>
        </w:tc>
      </w:tr>
      <w:tr w:rsidR="00EB650B" w:rsidRPr="00162386" w14:paraId="426A6F23" w14:textId="77777777" w:rsidTr="006D7FBA">
        <w:tc>
          <w:tcPr>
            <w:tcW w:w="562" w:type="dxa"/>
            <w:shd w:val="clear" w:color="auto" w:fill="FFFFFF" w:themeFill="background1"/>
          </w:tcPr>
          <w:p w14:paraId="4EDFB7F2" w14:textId="306DA39D" w:rsidR="00B6254A" w:rsidRPr="006D7FBA" w:rsidRDefault="00B6254A" w:rsidP="00162386">
            <w:pPr>
              <w:pStyle w:val="COMParaDecision"/>
              <w:numPr>
                <w:ilvl w:val="0"/>
                <w:numId w:val="0"/>
              </w:numPr>
              <w:spacing w:before="40" w:after="40"/>
              <w:jc w:val="left"/>
              <w:rPr>
                <w:u w:val="none"/>
              </w:rPr>
            </w:pPr>
            <w:r w:rsidRPr="006D7FBA">
              <w:rPr>
                <w:u w:val="none"/>
              </w:rPr>
              <w:t>38</w:t>
            </w:r>
          </w:p>
        </w:tc>
        <w:tc>
          <w:tcPr>
            <w:tcW w:w="2835" w:type="dxa"/>
            <w:tcBorders>
              <w:bottom w:val="nil"/>
              <w:right w:val="single" w:sz="4" w:space="0" w:color="auto"/>
            </w:tcBorders>
            <w:shd w:val="clear" w:color="auto" w:fill="FFFFFF" w:themeFill="background1"/>
          </w:tcPr>
          <w:p w14:paraId="77A0A3EA" w14:textId="4C2F6649" w:rsidR="00B6254A" w:rsidRPr="00162386" w:rsidRDefault="00B6254A" w:rsidP="00162386">
            <w:pPr>
              <w:pStyle w:val="COMParaDecision"/>
              <w:numPr>
                <w:ilvl w:val="0"/>
                <w:numId w:val="0"/>
              </w:numPr>
              <w:spacing w:before="40" w:after="40"/>
              <w:jc w:val="left"/>
              <w:rPr>
                <w:u w:val="none"/>
              </w:rPr>
            </w:pPr>
            <w:r>
              <w:rPr>
                <w:u w:val="none"/>
              </w:rPr>
              <w:t>Égypte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8BD4283" w14:textId="5173E1A6" w:rsidR="00B6254A" w:rsidRPr="00162386" w:rsidRDefault="00B6254A" w:rsidP="00162386">
            <w:pPr>
              <w:pStyle w:val="COMParaDecision"/>
              <w:numPr>
                <w:ilvl w:val="0"/>
                <w:numId w:val="0"/>
              </w:numPr>
              <w:spacing w:before="40" w:after="40"/>
              <w:jc w:val="left"/>
              <w:rPr>
                <w:u w:val="none"/>
              </w:rPr>
            </w:pPr>
            <w:r>
              <w:rPr>
                <w:u w:val="none"/>
              </w:rPr>
              <w:t>LSU</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3FAD9B31" w14:textId="65A4830E" w:rsidR="00B6254A" w:rsidRPr="006D7FBA" w:rsidRDefault="00B6254A" w:rsidP="00162386">
            <w:pPr>
              <w:pStyle w:val="COMParaDecision"/>
              <w:numPr>
                <w:ilvl w:val="0"/>
                <w:numId w:val="0"/>
              </w:numPr>
              <w:spacing w:before="40" w:after="40"/>
              <w:jc w:val="left"/>
              <w:rPr>
                <w:u w:val="none"/>
              </w:rPr>
            </w:pPr>
            <w:proofErr w:type="spellStart"/>
            <w:r w:rsidRPr="006D7FBA">
              <w:rPr>
                <w:u w:val="none"/>
              </w:rPr>
              <w:t>Tally</w:t>
            </w:r>
            <w:proofErr w:type="spellEnd"/>
            <w:r w:rsidRPr="006D7FBA">
              <w:rPr>
                <w:u w:val="none"/>
              </w:rPr>
              <w:t xml:space="preserve"> in </w:t>
            </w:r>
            <w:proofErr w:type="spellStart"/>
            <w:r w:rsidRPr="006D7FBA">
              <w:rPr>
                <w:u w:val="none"/>
              </w:rPr>
              <w:t>Upper</w:t>
            </w:r>
            <w:proofErr w:type="spellEnd"/>
            <w:r w:rsidRPr="006D7FBA">
              <w:rPr>
                <w:u w:val="none"/>
              </w:rPr>
              <w:t xml:space="preserve"> </w:t>
            </w:r>
            <w:proofErr w:type="spellStart"/>
            <w:r w:rsidRPr="006D7FBA">
              <w:rPr>
                <w:u w:val="none"/>
              </w:rPr>
              <w:t>Egypt</w:t>
            </w:r>
            <w:proofErr w:type="spellEnd"/>
            <w:r w:rsidRPr="006D7FBA">
              <w:rPr>
                <w:u w:val="none"/>
              </w:rPr>
              <w:t xml:space="preserve"> (01476)</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2278D75" w14:textId="7344A38C" w:rsidR="00B6254A" w:rsidRPr="00162386" w:rsidRDefault="00B6254A" w:rsidP="00162386">
            <w:pPr>
              <w:pStyle w:val="COMParaDecision"/>
              <w:numPr>
                <w:ilvl w:val="0"/>
                <w:numId w:val="0"/>
              </w:numPr>
              <w:spacing w:before="40" w:after="40"/>
              <w:jc w:val="left"/>
              <w:rPr>
                <w:u w:val="none"/>
              </w:rPr>
            </w:pPr>
            <w:r>
              <w:rPr>
                <w:u w:val="none"/>
              </w:rPr>
              <w:t>(i) candidature pour la LSU</w:t>
            </w:r>
          </w:p>
        </w:tc>
      </w:tr>
      <w:tr w:rsidR="00EB650B" w:rsidRPr="00162386" w14:paraId="7A0D2896" w14:textId="77777777" w:rsidTr="006D7FBA">
        <w:tc>
          <w:tcPr>
            <w:tcW w:w="562" w:type="dxa"/>
            <w:shd w:val="clear" w:color="auto" w:fill="FFFFFF" w:themeFill="background1"/>
          </w:tcPr>
          <w:p w14:paraId="3BAA54A1" w14:textId="4ED7A8A8" w:rsidR="00B6254A" w:rsidRPr="006D7FBA" w:rsidRDefault="00B6254A" w:rsidP="00162386">
            <w:pPr>
              <w:pStyle w:val="COMParaDecision"/>
              <w:numPr>
                <w:ilvl w:val="0"/>
                <w:numId w:val="0"/>
              </w:numPr>
              <w:spacing w:before="40" w:after="40"/>
              <w:jc w:val="left"/>
              <w:rPr>
                <w:u w:val="none"/>
              </w:rPr>
            </w:pPr>
            <w:r w:rsidRPr="006D7FBA">
              <w:rPr>
                <w:u w:val="none"/>
              </w:rPr>
              <w:t>39</w:t>
            </w:r>
          </w:p>
        </w:tc>
        <w:tc>
          <w:tcPr>
            <w:tcW w:w="2835" w:type="dxa"/>
            <w:tcBorders>
              <w:bottom w:val="nil"/>
              <w:right w:val="single" w:sz="4" w:space="0" w:color="auto"/>
            </w:tcBorders>
            <w:shd w:val="clear" w:color="auto" w:fill="FFFFFF" w:themeFill="background1"/>
          </w:tcPr>
          <w:p w14:paraId="107D774A" w14:textId="021A8670" w:rsidR="00B6254A" w:rsidRPr="00162386" w:rsidRDefault="00B6254A" w:rsidP="00162386">
            <w:pPr>
              <w:pStyle w:val="COMParaDecision"/>
              <w:numPr>
                <w:ilvl w:val="0"/>
                <w:numId w:val="0"/>
              </w:numPr>
              <w:spacing w:before="40" w:after="40"/>
              <w:jc w:val="left"/>
              <w:rPr>
                <w:u w:val="none"/>
              </w:rPr>
            </w:pPr>
            <w:r>
              <w:rPr>
                <w:u w:val="none"/>
              </w:rPr>
              <w:t>Kenya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855FA58" w14:textId="4EA41DB9" w:rsidR="00B6254A" w:rsidRPr="00162386" w:rsidRDefault="00B6254A" w:rsidP="00162386">
            <w:pPr>
              <w:pStyle w:val="COMParaDecision"/>
              <w:numPr>
                <w:ilvl w:val="0"/>
                <w:numId w:val="0"/>
              </w:numPr>
              <w:spacing w:before="40" w:after="40"/>
              <w:jc w:val="left"/>
              <w:rPr>
                <w:u w:val="none"/>
              </w:rPr>
            </w:pPr>
            <w:r>
              <w:rPr>
                <w:u w:val="none"/>
              </w:rPr>
              <w:t>LSU</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5571DF1B" w14:textId="09153467" w:rsidR="00B6254A" w:rsidRPr="006D7FBA" w:rsidRDefault="00B6254A" w:rsidP="00162386">
            <w:pPr>
              <w:pStyle w:val="COMParaDecision"/>
              <w:numPr>
                <w:ilvl w:val="0"/>
                <w:numId w:val="0"/>
              </w:numPr>
              <w:spacing w:before="40" w:after="40"/>
              <w:jc w:val="left"/>
              <w:rPr>
                <w:u w:val="none"/>
                <w:lang w:val="en-US"/>
              </w:rPr>
            </w:pPr>
            <w:r w:rsidRPr="006D7FBA">
              <w:rPr>
                <w:u w:val="none"/>
                <w:lang w:val="en-US"/>
              </w:rPr>
              <w:t xml:space="preserve">Rituals and practices associated with Kit </w:t>
            </w:r>
            <w:proofErr w:type="spellStart"/>
            <w:r w:rsidRPr="006D7FBA">
              <w:rPr>
                <w:u w:val="none"/>
                <w:lang w:val="en-US"/>
              </w:rPr>
              <w:t>Mikayi</w:t>
            </w:r>
            <w:proofErr w:type="spellEnd"/>
            <w:r w:rsidRPr="006D7FBA">
              <w:rPr>
                <w:u w:val="none"/>
                <w:lang w:val="en-US"/>
              </w:rPr>
              <w:t xml:space="preserve"> Shrine (01489)</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C88E02F" w14:textId="0D881702" w:rsidR="00B6254A" w:rsidRPr="00162386" w:rsidRDefault="00B6254A" w:rsidP="00162386">
            <w:pPr>
              <w:pStyle w:val="COMParaDecision"/>
              <w:numPr>
                <w:ilvl w:val="0"/>
                <w:numId w:val="0"/>
              </w:numPr>
              <w:spacing w:before="40" w:after="40"/>
              <w:jc w:val="left"/>
              <w:rPr>
                <w:u w:val="none"/>
              </w:rPr>
            </w:pPr>
            <w:r>
              <w:rPr>
                <w:u w:val="none"/>
              </w:rPr>
              <w:t>(i) candidature pour la LSU</w:t>
            </w:r>
          </w:p>
        </w:tc>
      </w:tr>
      <w:tr w:rsidR="00EB650B" w:rsidRPr="00162386" w14:paraId="60238701" w14:textId="77777777" w:rsidTr="006D7FBA">
        <w:tc>
          <w:tcPr>
            <w:tcW w:w="562" w:type="dxa"/>
            <w:shd w:val="clear" w:color="auto" w:fill="FFFFFF" w:themeFill="background1"/>
          </w:tcPr>
          <w:p w14:paraId="3FB0D52C" w14:textId="40CED49D" w:rsidR="00B6254A" w:rsidRPr="006D7FBA" w:rsidRDefault="00B6254A" w:rsidP="00162386">
            <w:pPr>
              <w:pStyle w:val="COMParaDecision"/>
              <w:numPr>
                <w:ilvl w:val="0"/>
                <w:numId w:val="0"/>
              </w:numPr>
              <w:spacing w:before="40" w:after="40"/>
              <w:jc w:val="left"/>
              <w:rPr>
                <w:u w:val="none"/>
              </w:rPr>
            </w:pPr>
            <w:r w:rsidRPr="006D7FBA">
              <w:rPr>
                <w:u w:val="none"/>
              </w:rPr>
              <w:t>40</w:t>
            </w:r>
          </w:p>
        </w:tc>
        <w:tc>
          <w:tcPr>
            <w:tcW w:w="2835" w:type="dxa"/>
            <w:tcBorders>
              <w:bottom w:val="single" w:sz="4" w:space="0" w:color="auto"/>
              <w:right w:val="single" w:sz="4" w:space="0" w:color="auto"/>
            </w:tcBorders>
            <w:shd w:val="clear" w:color="auto" w:fill="FFFFFF" w:themeFill="background1"/>
          </w:tcPr>
          <w:p w14:paraId="7DEED272" w14:textId="57ADB864" w:rsidR="00B6254A" w:rsidRPr="00162386" w:rsidRDefault="00B6254A" w:rsidP="00162386">
            <w:pPr>
              <w:pStyle w:val="COMParaDecision"/>
              <w:numPr>
                <w:ilvl w:val="0"/>
                <w:numId w:val="0"/>
              </w:numPr>
              <w:spacing w:before="40" w:after="40"/>
              <w:jc w:val="left"/>
              <w:rPr>
                <w:u w:val="none"/>
              </w:rPr>
            </w:pPr>
            <w:r>
              <w:rPr>
                <w:u w:val="none"/>
              </w:rPr>
              <w:t>Maurice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E0C5AF8" w14:textId="3E87C28C" w:rsidR="00B6254A" w:rsidRPr="00162386" w:rsidRDefault="00B6254A" w:rsidP="00162386">
            <w:pPr>
              <w:pStyle w:val="COMParaDecision"/>
              <w:numPr>
                <w:ilvl w:val="0"/>
                <w:numId w:val="0"/>
              </w:numPr>
              <w:spacing w:before="40" w:after="40"/>
              <w:jc w:val="left"/>
              <w:rPr>
                <w:u w:val="none"/>
              </w:rPr>
            </w:pPr>
            <w:r>
              <w:rPr>
                <w:u w:val="none"/>
              </w:rPr>
              <w:t>LSU</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4B0ACA2A" w14:textId="793F561D" w:rsidR="00B6254A" w:rsidRPr="006D7FBA" w:rsidRDefault="00B6254A" w:rsidP="00162386">
            <w:pPr>
              <w:pStyle w:val="COMParaDecision"/>
              <w:numPr>
                <w:ilvl w:val="0"/>
                <w:numId w:val="0"/>
              </w:numPr>
              <w:spacing w:before="40" w:after="40"/>
              <w:jc w:val="left"/>
              <w:rPr>
                <w:u w:val="none"/>
              </w:rPr>
            </w:pPr>
            <w:r w:rsidRPr="006D7FBA">
              <w:rPr>
                <w:u w:val="none"/>
              </w:rPr>
              <w:t>Sega tambour Chagos (01490)</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7FA8093" w14:textId="0DD78DE6" w:rsidR="00B6254A" w:rsidRPr="00162386" w:rsidRDefault="00B6254A" w:rsidP="00162386">
            <w:pPr>
              <w:pStyle w:val="COMParaDecision"/>
              <w:numPr>
                <w:ilvl w:val="0"/>
                <w:numId w:val="0"/>
              </w:numPr>
              <w:spacing w:before="40" w:after="40"/>
              <w:jc w:val="left"/>
              <w:rPr>
                <w:u w:val="none"/>
              </w:rPr>
            </w:pPr>
            <w:r>
              <w:rPr>
                <w:u w:val="none"/>
              </w:rPr>
              <w:t>(i) candidature pour la LSU</w:t>
            </w:r>
          </w:p>
        </w:tc>
      </w:tr>
      <w:tr w:rsidR="00EB650B" w:rsidRPr="00162386" w14:paraId="2044B6C7" w14:textId="77777777" w:rsidTr="006D7FBA">
        <w:tc>
          <w:tcPr>
            <w:tcW w:w="562" w:type="dxa"/>
            <w:tcBorders>
              <w:right w:val="single" w:sz="4" w:space="0" w:color="auto"/>
            </w:tcBorders>
            <w:shd w:val="clear" w:color="auto" w:fill="FFFFFF" w:themeFill="background1"/>
          </w:tcPr>
          <w:p w14:paraId="33C39E1F" w14:textId="11E0D966" w:rsidR="00B6254A" w:rsidRPr="006D7FBA" w:rsidRDefault="00B6254A" w:rsidP="00162386">
            <w:pPr>
              <w:pStyle w:val="COMParaDecision"/>
              <w:numPr>
                <w:ilvl w:val="0"/>
                <w:numId w:val="0"/>
              </w:numPr>
              <w:spacing w:before="40" w:after="40"/>
              <w:jc w:val="left"/>
              <w:rPr>
                <w:u w:val="none"/>
              </w:rPr>
            </w:pPr>
            <w:r w:rsidRPr="006D7FBA">
              <w:rPr>
                <w:u w:val="none"/>
              </w:rPr>
              <w:lastRenderedPageBreak/>
              <w:t>41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295E240" w14:textId="2DF37AE6" w:rsidR="00B6254A" w:rsidRPr="00162386" w:rsidRDefault="00B6254A" w:rsidP="00162386">
            <w:pPr>
              <w:pStyle w:val="COMParaDecision"/>
              <w:numPr>
                <w:ilvl w:val="0"/>
                <w:numId w:val="0"/>
              </w:numPr>
              <w:spacing w:before="40" w:after="40"/>
              <w:jc w:val="left"/>
              <w:rPr>
                <w:u w:val="none"/>
              </w:rPr>
            </w:pPr>
            <w:r>
              <w:rPr>
                <w:u w:val="none"/>
              </w:rPr>
              <w:t>Philippines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B15AD07" w14:textId="70BE84D2" w:rsidR="00B6254A" w:rsidRPr="00162386" w:rsidRDefault="00B6254A" w:rsidP="00162386">
            <w:pPr>
              <w:pStyle w:val="COMParaDecision"/>
              <w:numPr>
                <w:ilvl w:val="0"/>
                <w:numId w:val="0"/>
              </w:numPr>
              <w:spacing w:before="40" w:after="40"/>
              <w:jc w:val="left"/>
              <w:rPr>
                <w:u w:val="none"/>
              </w:rPr>
            </w:pPr>
            <w:r>
              <w:rPr>
                <w:u w:val="none"/>
              </w:rPr>
              <w:t>LSU</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099BE872" w14:textId="57FA6021" w:rsidR="00B6254A" w:rsidRPr="006D7FBA" w:rsidRDefault="00B6254A" w:rsidP="00162386">
            <w:pPr>
              <w:pStyle w:val="COMParaDecision"/>
              <w:numPr>
                <w:ilvl w:val="0"/>
                <w:numId w:val="0"/>
              </w:numPr>
              <w:spacing w:before="40" w:after="40"/>
              <w:jc w:val="left"/>
              <w:rPr>
                <w:u w:val="none"/>
                <w:lang w:val="en-US"/>
              </w:rPr>
            </w:pPr>
            <w:proofErr w:type="spellStart"/>
            <w:r w:rsidRPr="006D7FBA">
              <w:rPr>
                <w:u w:val="none"/>
                <w:lang w:val="en-US"/>
              </w:rPr>
              <w:t>Buklog</w:t>
            </w:r>
            <w:proofErr w:type="spellEnd"/>
            <w:r w:rsidRPr="006D7FBA">
              <w:rPr>
                <w:u w:val="none"/>
                <w:lang w:val="en-US"/>
              </w:rPr>
              <w:t xml:space="preserve">, thanksgiving ritual system of the </w:t>
            </w:r>
            <w:proofErr w:type="spellStart"/>
            <w:r w:rsidRPr="006D7FBA">
              <w:rPr>
                <w:u w:val="none"/>
                <w:lang w:val="en-US"/>
              </w:rPr>
              <w:t>Subanen</w:t>
            </w:r>
            <w:proofErr w:type="spellEnd"/>
            <w:r w:rsidRPr="006D7FBA">
              <w:rPr>
                <w:u w:val="none"/>
                <w:lang w:val="en-US"/>
              </w:rPr>
              <w:t xml:space="preserve"> (01495)</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D311D7A" w14:textId="3B46A4EF" w:rsidR="00B6254A" w:rsidRPr="00162386" w:rsidRDefault="00B6254A" w:rsidP="00162386">
            <w:pPr>
              <w:pStyle w:val="COMParaDecision"/>
              <w:numPr>
                <w:ilvl w:val="0"/>
                <w:numId w:val="0"/>
              </w:numPr>
              <w:spacing w:before="40" w:after="40"/>
              <w:jc w:val="left"/>
              <w:rPr>
                <w:u w:val="none"/>
              </w:rPr>
            </w:pPr>
            <w:r>
              <w:rPr>
                <w:u w:val="none"/>
              </w:rPr>
              <w:t>(i) candidature pour la LSU</w:t>
            </w:r>
          </w:p>
        </w:tc>
      </w:tr>
      <w:tr w:rsidR="00EB650B" w:rsidRPr="00162386" w14:paraId="61A14FEB" w14:textId="77777777" w:rsidTr="006D7FBA">
        <w:tc>
          <w:tcPr>
            <w:tcW w:w="562" w:type="dxa"/>
            <w:shd w:val="clear" w:color="auto" w:fill="FFFFFF" w:themeFill="background1"/>
          </w:tcPr>
          <w:p w14:paraId="0CF25916" w14:textId="337FBF78" w:rsidR="00B6254A" w:rsidRPr="006D7FBA" w:rsidRDefault="00B6254A" w:rsidP="00162386">
            <w:pPr>
              <w:pStyle w:val="COMParaDecision"/>
              <w:numPr>
                <w:ilvl w:val="0"/>
                <w:numId w:val="0"/>
              </w:numPr>
              <w:spacing w:before="40" w:after="40"/>
              <w:jc w:val="left"/>
              <w:rPr>
                <w:u w:val="none"/>
              </w:rPr>
            </w:pPr>
            <w:r w:rsidRPr="006D7FBA">
              <w:rPr>
                <w:u w:val="none"/>
              </w:rPr>
              <w:t>42</w:t>
            </w:r>
          </w:p>
        </w:tc>
        <w:tc>
          <w:tcPr>
            <w:tcW w:w="2835" w:type="dxa"/>
            <w:tcBorders>
              <w:top w:val="single" w:sz="4" w:space="0" w:color="auto"/>
              <w:bottom w:val="nil"/>
              <w:right w:val="single" w:sz="4" w:space="0" w:color="auto"/>
            </w:tcBorders>
            <w:shd w:val="clear" w:color="auto" w:fill="FFFFFF" w:themeFill="background1"/>
          </w:tcPr>
          <w:p w14:paraId="485056F1" w14:textId="61484FFD" w:rsidR="00B6254A" w:rsidRPr="00162386" w:rsidRDefault="00B6254A" w:rsidP="00162386">
            <w:pPr>
              <w:pStyle w:val="COMParaDecision"/>
              <w:numPr>
                <w:ilvl w:val="0"/>
                <w:numId w:val="0"/>
              </w:numPr>
              <w:spacing w:before="40" w:after="40"/>
              <w:jc w:val="left"/>
              <w:rPr>
                <w:u w:val="none"/>
              </w:rPr>
            </w:pPr>
            <w:r>
              <w:rPr>
                <w:u w:val="none"/>
              </w:rPr>
              <w:t>Autriche, Grèce, Italie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D242CFF" w14:textId="2E31910D" w:rsidR="00B6254A" w:rsidRPr="00162386" w:rsidRDefault="00B6254A"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7FDF1D7B" w14:textId="3E966807" w:rsidR="00B6254A" w:rsidRPr="006D7FBA" w:rsidRDefault="00B6254A" w:rsidP="00162386">
            <w:pPr>
              <w:pStyle w:val="COMParaDecision"/>
              <w:numPr>
                <w:ilvl w:val="0"/>
                <w:numId w:val="0"/>
              </w:numPr>
              <w:spacing w:before="40" w:after="40"/>
              <w:jc w:val="left"/>
              <w:rPr>
                <w:u w:val="none"/>
                <w:lang w:val="en-US"/>
              </w:rPr>
            </w:pPr>
            <w:r w:rsidRPr="006D7FBA">
              <w:rPr>
                <w:u w:val="none"/>
                <w:lang w:val="en-US"/>
              </w:rPr>
              <w:t>Transhumance: the seasonal droving of livestock along migratory routes in the Mediterranean and in the Alps (01470)</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D7AF8A3" w14:textId="2B21B940" w:rsidR="00B6254A" w:rsidRPr="00162386" w:rsidRDefault="00B6254A" w:rsidP="00162386">
            <w:pPr>
              <w:pStyle w:val="COMParaDecision"/>
              <w:numPr>
                <w:ilvl w:val="0"/>
                <w:numId w:val="0"/>
              </w:numPr>
              <w:spacing w:before="40" w:after="40"/>
              <w:jc w:val="left"/>
              <w:rPr>
                <w:u w:val="none"/>
              </w:rPr>
            </w:pPr>
            <w:r>
              <w:rPr>
                <w:u w:val="none"/>
              </w:rPr>
              <w:t>(ii) candidature multinationale</w:t>
            </w:r>
          </w:p>
        </w:tc>
      </w:tr>
      <w:tr w:rsidR="00EB650B" w:rsidRPr="00162386" w14:paraId="1DDE0778" w14:textId="77777777" w:rsidTr="006D7FBA">
        <w:tc>
          <w:tcPr>
            <w:tcW w:w="562" w:type="dxa"/>
            <w:shd w:val="clear" w:color="auto" w:fill="FFFFFF" w:themeFill="background1"/>
          </w:tcPr>
          <w:p w14:paraId="66B7237D" w14:textId="055129BB" w:rsidR="00B6254A" w:rsidRPr="006D7FBA" w:rsidRDefault="00B6254A" w:rsidP="00162386">
            <w:pPr>
              <w:pStyle w:val="COMParaDecision"/>
              <w:numPr>
                <w:ilvl w:val="0"/>
                <w:numId w:val="0"/>
              </w:numPr>
              <w:spacing w:before="40" w:after="40"/>
              <w:jc w:val="left"/>
              <w:rPr>
                <w:u w:val="none"/>
              </w:rPr>
            </w:pPr>
            <w:r w:rsidRPr="006D7FBA">
              <w:rPr>
                <w:u w:val="none"/>
              </w:rPr>
              <w:t>43</w:t>
            </w:r>
          </w:p>
        </w:tc>
        <w:tc>
          <w:tcPr>
            <w:tcW w:w="2835" w:type="dxa"/>
            <w:tcBorders>
              <w:bottom w:val="nil"/>
              <w:right w:val="single" w:sz="4" w:space="0" w:color="auto"/>
            </w:tcBorders>
            <w:shd w:val="clear" w:color="auto" w:fill="FFFFFF" w:themeFill="background1"/>
          </w:tcPr>
          <w:p w14:paraId="1AD96A99" w14:textId="685027A3" w:rsidR="00B6254A" w:rsidRPr="00162386" w:rsidRDefault="00B6254A" w:rsidP="00162386">
            <w:pPr>
              <w:pStyle w:val="COMParaDecision"/>
              <w:numPr>
                <w:ilvl w:val="0"/>
                <w:numId w:val="0"/>
              </w:numPr>
              <w:spacing w:before="40" w:after="40"/>
              <w:jc w:val="left"/>
              <w:rPr>
                <w:u w:val="none"/>
              </w:rPr>
            </w:pPr>
            <w:r>
              <w:rPr>
                <w:u w:val="none"/>
              </w:rPr>
              <w:t>Bahreïn, Arabie saoudite, Égypte, Émirats arabes unis, Iraq, Jordanie, Koweït, Maroc, Mauritanie, Oman, Palestine, Soudan, Tunisie, Yémen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1DB308C" w14:textId="660D7C9E" w:rsidR="00B6254A" w:rsidRPr="00162386" w:rsidRDefault="00B6254A"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70E230D7" w14:textId="2E72A286" w:rsidR="00B6254A" w:rsidRPr="006D7FBA" w:rsidRDefault="00B6254A" w:rsidP="00162386">
            <w:pPr>
              <w:pStyle w:val="COMParaDecision"/>
              <w:numPr>
                <w:ilvl w:val="0"/>
                <w:numId w:val="0"/>
              </w:numPr>
              <w:spacing w:before="40" w:after="40"/>
              <w:jc w:val="left"/>
              <w:rPr>
                <w:u w:val="none"/>
                <w:lang w:val="en-US"/>
              </w:rPr>
            </w:pPr>
            <w:r w:rsidRPr="006D7FBA">
              <w:rPr>
                <w:u w:val="none"/>
                <w:lang w:val="en-US"/>
              </w:rPr>
              <w:t>Date palm, knowledge, skills, traditions and practices (01509)</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0789AF9" w14:textId="7ED1C272" w:rsidR="00B6254A" w:rsidRPr="00162386" w:rsidRDefault="00B6254A" w:rsidP="00162386">
            <w:pPr>
              <w:pStyle w:val="COMParaDecision"/>
              <w:numPr>
                <w:ilvl w:val="0"/>
                <w:numId w:val="0"/>
              </w:numPr>
              <w:spacing w:before="40" w:after="40"/>
              <w:jc w:val="left"/>
              <w:rPr>
                <w:u w:val="none"/>
              </w:rPr>
            </w:pPr>
            <w:r>
              <w:rPr>
                <w:u w:val="none"/>
              </w:rPr>
              <w:t>(ii) candidature multinationale</w:t>
            </w:r>
          </w:p>
        </w:tc>
      </w:tr>
      <w:tr w:rsidR="00EB650B" w:rsidRPr="00162386" w14:paraId="1BC9E06D" w14:textId="77777777" w:rsidTr="006D7FBA">
        <w:tc>
          <w:tcPr>
            <w:tcW w:w="562" w:type="dxa"/>
            <w:shd w:val="clear" w:color="auto" w:fill="FFFFFF" w:themeFill="background1"/>
          </w:tcPr>
          <w:p w14:paraId="7CCDAAD8" w14:textId="28B3C3EA" w:rsidR="00B6254A" w:rsidRPr="006D7FBA" w:rsidRDefault="00B6254A" w:rsidP="00162386">
            <w:pPr>
              <w:pStyle w:val="COMParaDecision"/>
              <w:numPr>
                <w:ilvl w:val="0"/>
                <w:numId w:val="0"/>
              </w:numPr>
              <w:spacing w:before="40" w:after="40"/>
              <w:jc w:val="left"/>
              <w:rPr>
                <w:u w:val="none"/>
              </w:rPr>
            </w:pPr>
            <w:r w:rsidRPr="006D7FBA">
              <w:rPr>
                <w:u w:val="none"/>
              </w:rPr>
              <w:t>44</w:t>
            </w:r>
          </w:p>
        </w:tc>
        <w:tc>
          <w:tcPr>
            <w:tcW w:w="2835" w:type="dxa"/>
            <w:tcBorders>
              <w:bottom w:val="nil"/>
              <w:right w:val="single" w:sz="4" w:space="0" w:color="auto"/>
            </w:tcBorders>
            <w:shd w:val="clear" w:color="auto" w:fill="FFFFFF" w:themeFill="background1"/>
          </w:tcPr>
          <w:p w14:paraId="79202863" w14:textId="433E0ADE" w:rsidR="00B6254A" w:rsidRPr="00162386" w:rsidRDefault="00B6254A" w:rsidP="00162386">
            <w:pPr>
              <w:pStyle w:val="COMParaDecision"/>
              <w:numPr>
                <w:ilvl w:val="0"/>
                <w:numId w:val="0"/>
              </w:numPr>
              <w:spacing w:before="40" w:after="40"/>
              <w:jc w:val="left"/>
              <w:rPr>
                <w:u w:val="none"/>
              </w:rPr>
            </w:pPr>
            <w:r>
              <w:rPr>
                <w:u w:val="none"/>
              </w:rPr>
              <w:t>Chypre, Grèce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1BA4AFC" w14:textId="3E33B58C" w:rsidR="00B6254A" w:rsidRPr="00162386" w:rsidRDefault="00B6254A"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42DB8A7A" w14:textId="60C89FF6" w:rsidR="00B6254A" w:rsidRPr="006D7FBA" w:rsidRDefault="00B6254A" w:rsidP="00162386">
            <w:pPr>
              <w:pStyle w:val="COMParaDecision"/>
              <w:numPr>
                <w:ilvl w:val="0"/>
                <w:numId w:val="0"/>
              </w:numPr>
              <w:spacing w:before="40" w:after="40"/>
              <w:jc w:val="left"/>
              <w:rPr>
                <w:u w:val="none"/>
              </w:rPr>
            </w:pPr>
            <w:r w:rsidRPr="006D7FBA">
              <w:rPr>
                <w:u w:val="none"/>
              </w:rPr>
              <w:t>Byzantine chant (01508)</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B5C377E" w14:textId="0BAD93FC" w:rsidR="00B6254A" w:rsidRPr="00162386" w:rsidRDefault="00B6254A" w:rsidP="00162386">
            <w:pPr>
              <w:pStyle w:val="COMParaDecision"/>
              <w:numPr>
                <w:ilvl w:val="0"/>
                <w:numId w:val="0"/>
              </w:numPr>
              <w:spacing w:before="40" w:after="40"/>
              <w:jc w:val="left"/>
              <w:rPr>
                <w:u w:val="none"/>
              </w:rPr>
            </w:pPr>
            <w:r>
              <w:rPr>
                <w:u w:val="none"/>
              </w:rPr>
              <w:t>(ii) candidature multinationale</w:t>
            </w:r>
          </w:p>
        </w:tc>
      </w:tr>
      <w:tr w:rsidR="00EB650B" w:rsidRPr="00162386" w14:paraId="109927DF" w14:textId="77777777" w:rsidTr="006D7FBA">
        <w:tc>
          <w:tcPr>
            <w:tcW w:w="562" w:type="dxa"/>
            <w:shd w:val="clear" w:color="auto" w:fill="FFFFFF" w:themeFill="background1"/>
          </w:tcPr>
          <w:p w14:paraId="3444EC65" w14:textId="04C7EAEA" w:rsidR="00B6254A" w:rsidRPr="006D7FBA" w:rsidRDefault="00B6254A" w:rsidP="00162386">
            <w:pPr>
              <w:pStyle w:val="COMParaDecision"/>
              <w:numPr>
                <w:ilvl w:val="0"/>
                <w:numId w:val="0"/>
              </w:numPr>
              <w:spacing w:before="40" w:after="40"/>
              <w:jc w:val="left"/>
              <w:rPr>
                <w:u w:val="none"/>
              </w:rPr>
            </w:pPr>
            <w:r w:rsidRPr="006D7FBA">
              <w:rPr>
                <w:u w:val="none"/>
              </w:rPr>
              <w:t>45</w:t>
            </w:r>
          </w:p>
        </w:tc>
        <w:tc>
          <w:tcPr>
            <w:tcW w:w="2835" w:type="dxa"/>
            <w:tcBorders>
              <w:bottom w:val="nil"/>
              <w:right w:val="single" w:sz="4" w:space="0" w:color="auto"/>
            </w:tcBorders>
            <w:shd w:val="clear" w:color="auto" w:fill="FFFFFF" w:themeFill="background1"/>
          </w:tcPr>
          <w:p w14:paraId="532DBD06" w14:textId="7F469EE4" w:rsidR="00B6254A" w:rsidRPr="00162386" w:rsidRDefault="00B6254A" w:rsidP="00162386">
            <w:pPr>
              <w:pStyle w:val="COMParaDecision"/>
              <w:numPr>
                <w:ilvl w:val="0"/>
                <w:numId w:val="0"/>
              </w:numPr>
              <w:spacing w:before="40" w:after="40"/>
              <w:jc w:val="left"/>
              <w:rPr>
                <w:u w:val="none"/>
              </w:rPr>
            </w:pPr>
            <w:r>
              <w:rPr>
                <w:u w:val="none"/>
              </w:rPr>
              <w:t>France, Italie, Suisse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CB98352" w14:textId="534A91B4" w:rsidR="00B6254A" w:rsidRPr="00162386" w:rsidRDefault="00B6254A"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13EFA919" w14:textId="118E221E" w:rsidR="00B6254A" w:rsidRPr="006D7FBA" w:rsidRDefault="00B6254A" w:rsidP="00162386">
            <w:pPr>
              <w:pStyle w:val="COMParaDecision"/>
              <w:numPr>
                <w:ilvl w:val="0"/>
                <w:numId w:val="0"/>
              </w:numPr>
              <w:spacing w:before="40" w:after="40"/>
              <w:jc w:val="left"/>
              <w:rPr>
                <w:u w:val="none"/>
              </w:rPr>
            </w:pPr>
            <w:r w:rsidRPr="006D7FBA">
              <w:rPr>
                <w:u w:val="none"/>
              </w:rPr>
              <w:t>L</w:t>
            </w:r>
            <w:r w:rsidR="0075127A" w:rsidRPr="006D7FBA">
              <w:rPr>
                <w:u w:val="none"/>
              </w:rPr>
              <w:t>’</w:t>
            </w:r>
            <w:r w:rsidRPr="006D7FBA">
              <w:rPr>
                <w:u w:val="none"/>
              </w:rPr>
              <w:t>alpinisme (01471)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C36E26C" w14:textId="05E50D2D" w:rsidR="00B6254A" w:rsidRPr="00162386" w:rsidRDefault="00B6254A" w:rsidP="00162386">
            <w:pPr>
              <w:pStyle w:val="COMParaDecision"/>
              <w:numPr>
                <w:ilvl w:val="0"/>
                <w:numId w:val="0"/>
              </w:numPr>
              <w:spacing w:before="40" w:after="40"/>
              <w:jc w:val="left"/>
              <w:rPr>
                <w:u w:val="none"/>
              </w:rPr>
            </w:pPr>
            <w:r>
              <w:rPr>
                <w:u w:val="none"/>
              </w:rPr>
              <w:t>(ii) candidature multinationale</w:t>
            </w:r>
          </w:p>
        </w:tc>
      </w:tr>
      <w:tr w:rsidR="00EB650B" w:rsidRPr="00162386" w14:paraId="341A48BC" w14:textId="77777777" w:rsidTr="006D7FBA">
        <w:tc>
          <w:tcPr>
            <w:tcW w:w="562" w:type="dxa"/>
            <w:shd w:val="clear" w:color="auto" w:fill="FFFFFF" w:themeFill="background1"/>
          </w:tcPr>
          <w:p w14:paraId="5A32708A" w14:textId="4AF99749" w:rsidR="00B6254A" w:rsidRPr="006D7FBA" w:rsidRDefault="00B6254A" w:rsidP="00162386">
            <w:pPr>
              <w:pStyle w:val="COMParaDecision"/>
              <w:numPr>
                <w:ilvl w:val="0"/>
                <w:numId w:val="0"/>
              </w:numPr>
              <w:spacing w:before="40" w:after="40"/>
              <w:jc w:val="left"/>
              <w:rPr>
                <w:u w:val="none"/>
              </w:rPr>
            </w:pPr>
            <w:r w:rsidRPr="006D7FBA">
              <w:rPr>
                <w:u w:val="none"/>
              </w:rPr>
              <w:t>46</w:t>
            </w:r>
          </w:p>
        </w:tc>
        <w:tc>
          <w:tcPr>
            <w:tcW w:w="2835" w:type="dxa"/>
            <w:tcBorders>
              <w:bottom w:val="nil"/>
              <w:right w:val="single" w:sz="4" w:space="0" w:color="auto"/>
            </w:tcBorders>
            <w:shd w:val="clear" w:color="auto" w:fill="FFFFFF" w:themeFill="background1"/>
          </w:tcPr>
          <w:p w14:paraId="5C143D97" w14:textId="247B6686" w:rsidR="00B6254A" w:rsidRPr="00162386" w:rsidRDefault="00B6254A" w:rsidP="00162386">
            <w:pPr>
              <w:pStyle w:val="COMParaDecision"/>
              <w:numPr>
                <w:ilvl w:val="0"/>
                <w:numId w:val="0"/>
              </w:numPr>
              <w:spacing w:before="40" w:after="40"/>
              <w:jc w:val="left"/>
              <w:rPr>
                <w:u w:val="none"/>
              </w:rPr>
            </w:pPr>
            <w:r>
              <w:rPr>
                <w:u w:val="none"/>
              </w:rPr>
              <w:t>Mexique, Espagne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F8BB36F" w14:textId="2D18F7A6" w:rsidR="00B6254A" w:rsidRPr="00162386" w:rsidRDefault="00B6254A"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7D6F5A2D" w14:textId="31E17465" w:rsidR="00B6254A" w:rsidRPr="006D7FBA" w:rsidRDefault="00B6254A" w:rsidP="00162386">
            <w:pPr>
              <w:pStyle w:val="COMParaDecision"/>
              <w:numPr>
                <w:ilvl w:val="0"/>
                <w:numId w:val="0"/>
              </w:numPr>
              <w:spacing w:before="40" w:after="40"/>
              <w:jc w:val="left"/>
              <w:rPr>
                <w:u w:val="none"/>
                <w:lang w:val="es-ES"/>
              </w:rPr>
            </w:pPr>
            <w:proofErr w:type="spellStart"/>
            <w:r w:rsidRPr="006D7FBA">
              <w:rPr>
                <w:u w:val="none"/>
                <w:lang w:val="es-ES"/>
              </w:rPr>
              <w:t>Artisanal</w:t>
            </w:r>
            <w:proofErr w:type="spellEnd"/>
            <w:r w:rsidRPr="006D7FBA">
              <w:rPr>
                <w:u w:val="none"/>
                <w:lang w:val="es-ES"/>
              </w:rPr>
              <w:t xml:space="preserve"> talavera of Puebla (</w:t>
            </w:r>
            <w:proofErr w:type="spellStart"/>
            <w:r w:rsidRPr="006D7FBA">
              <w:rPr>
                <w:u w:val="none"/>
                <w:lang w:val="es-ES"/>
              </w:rPr>
              <w:t>Mexico</w:t>
            </w:r>
            <w:proofErr w:type="spellEnd"/>
            <w:r w:rsidRPr="006D7FBA">
              <w:rPr>
                <w:u w:val="none"/>
                <w:lang w:val="es-ES"/>
              </w:rPr>
              <w:t xml:space="preserve">) and </w:t>
            </w:r>
            <w:proofErr w:type="spellStart"/>
            <w:r w:rsidRPr="006D7FBA">
              <w:rPr>
                <w:u w:val="none"/>
                <w:lang w:val="es-ES"/>
              </w:rPr>
              <w:t>ceramics</w:t>
            </w:r>
            <w:proofErr w:type="spellEnd"/>
            <w:r w:rsidRPr="006D7FBA">
              <w:rPr>
                <w:u w:val="none"/>
                <w:lang w:val="es-ES"/>
              </w:rPr>
              <w:t xml:space="preserve"> of Talavera de la Reina and El Puente del Arzobispo (</w:t>
            </w:r>
            <w:proofErr w:type="spellStart"/>
            <w:r w:rsidRPr="006D7FBA">
              <w:rPr>
                <w:u w:val="none"/>
                <w:lang w:val="es-ES"/>
              </w:rPr>
              <w:t>Spain</w:t>
            </w:r>
            <w:proofErr w:type="spellEnd"/>
            <w:r w:rsidRPr="006D7FBA">
              <w:rPr>
                <w:u w:val="none"/>
                <w:lang w:val="es-ES"/>
              </w:rPr>
              <w:t xml:space="preserve">) </w:t>
            </w:r>
            <w:proofErr w:type="spellStart"/>
            <w:r w:rsidRPr="006D7FBA">
              <w:rPr>
                <w:u w:val="none"/>
                <w:lang w:val="es-ES"/>
              </w:rPr>
              <w:t>making</w:t>
            </w:r>
            <w:proofErr w:type="spellEnd"/>
            <w:r w:rsidRPr="006D7FBA">
              <w:rPr>
                <w:u w:val="none"/>
                <w:lang w:val="es-ES"/>
              </w:rPr>
              <w:t xml:space="preserve"> </w:t>
            </w:r>
            <w:proofErr w:type="spellStart"/>
            <w:r w:rsidRPr="006D7FBA">
              <w:rPr>
                <w:u w:val="none"/>
                <w:lang w:val="es-ES"/>
              </w:rPr>
              <w:t>process</w:t>
            </w:r>
            <w:proofErr w:type="spellEnd"/>
            <w:r w:rsidRPr="006D7FBA">
              <w:rPr>
                <w:u w:val="none"/>
                <w:lang w:val="es-ES"/>
              </w:rPr>
              <w:t xml:space="preserve"> (01462)</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3E35AAC" w14:textId="313B1F68" w:rsidR="00B6254A" w:rsidRPr="00162386" w:rsidRDefault="00B6254A" w:rsidP="00162386">
            <w:pPr>
              <w:pStyle w:val="COMParaDecision"/>
              <w:numPr>
                <w:ilvl w:val="0"/>
                <w:numId w:val="0"/>
              </w:numPr>
              <w:spacing w:before="40" w:after="40"/>
              <w:jc w:val="left"/>
              <w:rPr>
                <w:u w:val="none"/>
              </w:rPr>
            </w:pPr>
            <w:r>
              <w:rPr>
                <w:u w:val="none"/>
              </w:rPr>
              <w:t>(ii) candidature multinationale</w:t>
            </w:r>
          </w:p>
        </w:tc>
      </w:tr>
      <w:tr w:rsidR="00EB650B" w:rsidRPr="00162386" w14:paraId="327E6077" w14:textId="77777777" w:rsidTr="006D7FBA">
        <w:tc>
          <w:tcPr>
            <w:tcW w:w="562" w:type="dxa"/>
            <w:shd w:val="clear" w:color="auto" w:fill="FFFFFF" w:themeFill="background1"/>
          </w:tcPr>
          <w:p w14:paraId="1A8A267E" w14:textId="04B49CB3" w:rsidR="00B6254A" w:rsidRPr="006D7FBA" w:rsidRDefault="00B6254A" w:rsidP="00162386">
            <w:pPr>
              <w:pStyle w:val="COMParaDecision"/>
              <w:numPr>
                <w:ilvl w:val="0"/>
                <w:numId w:val="0"/>
              </w:numPr>
              <w:spacing w:before="40" w:after="40"/>
              <w:jc w:val="left"/>
              <w:rPr>
                <w:u w:val="none"/>
              </w:rPr>
            </w:pPr>
            <w:r w:rsidRPr="006D7FBA">
              <w:rPr>
                <w:u w:val="none"/>
              </w:rPr>
              <w:t>47</w:t>
            </w:r>
          </w:p>
        </w:tc>
        <w:tc>
          <w:tcPr>
            <w:tcW w:w="2835" w:type="dxa"/>
            <w:tcBorders>
              <w:bottom w:val="nil"/>
              <w:right w:val="single" w:sz="4" w:space="0" w:color="auto"/>
            </w:tcBorders>
            <w:shd w:val="clear" w:color="auto" w:fill="FFFFFF" w:themeFill="background1"/>
          </w:tcPr>
          <w:p w14:paraId="40F37D8D" w14:textId="7AD7404C" w:rsidR="00B6254A" w:rsidRPr="00162386" w:rsidRDefault="00B6254A" w:rsidP="00162386">
            <w:pPr>
              <w:pStyle w:val="COMParaDecision"/>
              <w:numPr>
                <w:ilvl w:val="0"/>
                <w:numId w:val="0"/>
              </w:numPr>
              <w:spacing w:before="40" w:after="40"/>
              <w:jc w:val="left"/>
              <w:rPr>
                <w:u w:val="none"/>
              </w:rPr>
            </w:pPr>
            <w:r>
              <w:rPr>
                <w:u w:val="none"/>
              </w:rPr>
              <w:t>Irlande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8245287" w14:textId="2ECAA9BB" w:rsidR="00B6254A" w:rsidRPr="00162386" w:rsidRDefault="00B6254A"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047EE9C0" w14:textId="2FDE4A2B" w:rsidR="00B6254A" w:rsidRPr="006D7FBA" w:rsidRDefault="00B6254A" w:rsidP="00162386">
            <w:pPr>
              <w:pStyle w:val="COMParaDecision"/>
              <w:numPr>
                <w:ilvl w:val="0"/>
                <w:numId w:val="0"/>
              </w:numPr>
              <w:spacing w:before="40" w:after="40"/>
              <w:jc w:val="left"/>
              <w:rPr>
                <w:u w:val="none"/>
              </w:rPr>
            </w:pPr>
            <w:r w:rsidRPr="006D7FBA">
              <w:rPr>
                <w:u w:val="none"/>
              </w:rPr>
              <w:t xml:space="preserve">Irish </w:t>
            </w:r>
            <w:proofErr w:type="spellStart"/>
            <w:r w:rsidRPr="006D7FBA">
              <w:rPr>
                <w:u w:val="none"/>
              </w:rPr>
              <w:t>harping</w:t>
            </w:r>
            <w:proofErr w:type="spellEnd"/>
            <w:r w:rsidRPr="006D7FBA">
              <w:rPr>
                <w:u w:val="none"/>
              </w:rPr>
              <w:t xml:space="preserve"> (01461)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3DA2306" w14:textId="7DD02849" w:rsidR="00B6254A" w:rsidRPr="00162386" w:rsidRDefault="00B6254A" w:rsidP="00162386">
            <w:pPr>
              <w:pStyle w:val="COMParaDecision"/>
              <w:numPr>
                <w:ilvl w:val="0"/>
                <w:numId w:val="0"/>
              </w:numPr>
              <w:spacing w:before="40" w:after="40"/>
              <w:jc w:val="left"/>
              <w:rPr>
                <w:u w:val="none"/>
              </w:rPr>
            </w:pPr>
            <w:r>
              <w:rPr>
                <w:u w:val="none"/>
              </w:rPr>
              <w:t>(iii) 1 élément inscrit</w:t>
            </w:r>
          </w:p>
        </w:tc>
      </w:tr>
      <w:tr w:rsidR="00EB650B" w:rsidRPr="00162386" w14:paraId="6E8795B0" w14:textId="77777777" w:rsidTr="006D7FBA">
        <w:tc>
          <w:tcPr>
            <w:tcW w:w="562" w:type="dxa"/>
            <w:shd w:val="clear" w:color="auto" w:fill="FFFFFF" w:themeFill="background1"/>
          </w:tcPr>
          <w:p w14:paraId="746808B0" w14:textId="64294D45" w:rsidR="00B6254A" w:rsidRPr="006D7FBA" w:rsidRDefault="00B6254A" w:rsidP="00162386">
            <w:pPr>
              <w:pStyle w:val="COMParaDecision"/>
              <w:numPr>
                <w:ilvl w:val="0"/>
                <w:numId w:val="0"/>
              </w:numPr>
              <w:spacing w:before="40" w:after="40"/>
              <w:jc w:val="left"/>
              <w:rPr>
                <w:u w:val="none"/>
              </w:rPr>
            </w:pPr>
            <w:r w:rsidRPr="006D7FBA">
              <w:rPr>
                <w:u w:val="none"/>
              </w:rPr>
              <w:t>48</w:t>
            </w:r>
          </w:p>
        </w:tc>
        <w:tc>
          <w:tcPr>
            <w:tcW w:w="2835" w:type="dxa"/>
            <w:tcBorders>
              <w:bottom w:val="nil"/>
              <w:right w:val="single" w:sz="4" w:space="0" w:color="auto"/>
            </w:tcBorders>
            <w:shd w:val="clear" w:color="auto" w:fill="FFFFFF" w:themeFill="background1"/>
          </w:tcPr>
          <w:p w14:paraId="56223482" w14:textId="4345F6A8" w:rsidR="00B6254A" w:rsidRPr="00162386" w:rsidRDefault="00B6254A" w:rsidP="00162386">
            <w:pPr>
              <w:pStyle w:val="COMParaDecision"/>
              <w:numPr>
                <w:ilvl w:val="0"/>
                <w:numId w:val="0"/>
              </w:numPr>
              <w:spacing w:before="40" w:after="40"/>
              <w:jc w:val="left"/>
              <w:rPr>
                <w:u w:val="none"/>
              </w:rPr>
            </w:pPr>
            <w:r>
              <w:rPr>
                <w:u w:val="none"/>
              </w:rPr>
              <w:t>République démocratique populaire lao</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94540B5" w14:textId="6E146D69" w:rsidR="00B6254A" w:rsidRPr="00162386" w:rsidRDefault="00B6254A"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70D045A7" w14:textId="20B641F1" w:rsidR="00B6254A" w:rsidRPr="006D7FBA" w:rsidRDefault="00B6254A" w:rsidP="00162386">
            <w:pPr>
              <w:pStyle w:val="COMParaDecision"/>
              <w:numPr>
                <w:ilvl w:val="0"/>
                <w:numId w:val="0"/>
              </w:numPr>
              <w:spacing w:before="40" w:after="40"/>
              <w:jc w:val="left"/>
              <w:rPr>
                <w:u w:val="none"/>
              </w:rPr>
            </w:pPr>
            <w:proofErr w:type="spellStart"/>
            <w:r w:rsidRPr="006D7FBA">
              <w:rPr>
                <w:u w:val="none"/>
              </w:rPr>
              <w:t>Lam</w:t>
            </w:r>
            <w:proofErr w:type="spellEnd"/>
            <w:r w:rsidRPr="006D7FBA">
              <w:rPr>
                <w:u w:val="none"/>
              </w:rPr>
              <w:t xml:space="preserve"> </w:t>
            </w:r>
            <w:proofErr w:type="spellStart"/>
            <w:r w:rsidRPr="006D7FBA">
              <w:rPr>
                <w:u w:val="none"/>
              </w:rPr>
              <w:t>Vong</w:t>
            </w:r>
            <w:proofErr w:type="spellEnd"/>
            <w:r w:rsidRPr="006D7FBA">
              <w:rPr>
                <w:u w:val="none"/>
              </w:rPr>
              <w:t xml:space="preserve"> Lao (</w:t>
            </w:r>
            <w:proofErr w:type="spellStart"/>
            <w:r w:rsidRPr="006D7FBA">
              <w:rPr>
                <w:u w:val="none"/>
              </w:rPr>
              <w:t>lamvonglao</w:t>
            </w:r>
            <w:proofErr w:type="spellEnd"/>
            <w:r w:rsidRPr="006D7FBA">
              <w:rPr>
                <w:u w:val="none"/>
              </w:rPr>
              <w:t>) (01488)</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10D1913" w14:textId="0B0C8A81" w:rsidR="00B6254A" w:rsidRPr="00162386" w:rsidRDefault="00B6254A" w:rsidP="00162386">
            <w:pPr>
              <w:pStyle w:val="COMParaDecision"/>
              <w:numPr>
                <w:ilvl w:val="0"/>
                <w:numId w:val="0"/>
              </w:numPr>
              <w:spacing w:before="40" w:after="40"/>
              <w:jc w:val="left"/>
              <w:rPr>
                <w:u w:val="none"/>
              </w:rPr>
            </w:pPr>
            <w:r>
              <w:rPr>
                <w:u w:val="none"/>
              </w:rPr>
              <w:t>(iii) 1 élément inscrit</w:t>
            </w:r>
          </w:p>
        </w:tc>
      </w:tr>
      <w:tr w:rsidR="00EB650B" w:rsidRPr="00162386" w14:paraId="61477E7B" w14:textId="77777777" w:rsidTr="006D7FBA">
        <w:tc>
          <w:tcPr>
            <w:tcW w:w="562" w:type="dxa"/>
            <w:shd w:val="clear" w:color="auto" w:fill="FFFFFF" w:themeFill="background1"/>
          </w:tcPr>
          <w:p w14:paraId="7067720A" w14:textId="349B23B2" w:rsidR="00B6254A" w:rsidRPr="006D7FBA" w:rsidRDefault="00823DB0" w:rsidP="00162386">
            <w:pPr>
              <w:pStyle w:val="COMParaDecision"/>
              <w:numPr>
                <w:ilvl w:val="0"/>
                <w:numId w:val="0"/>
              </w:numPr>
              <w:spacing w:before="40" w:after="40"/>
              <w:jc w:val="left"/>
              <w:rPr>
                <w:u w:val="none"/>
              </w:rPr>
            </w:pPr>
            <w:r w:rsidRPr="006D7FBA">
              <w:rPr>
                <w:u w:val="none"/>
              </w:rPr>
              <w:t>49</w:t>
            </w:r>
          </w:p>
        </w:tc>
        <w:tc>
          <w:tcPr>
            <w:tcW w:w="2835" w:type="dxa"/>
            <w:tcBorders>
              <w:bottom w:val="nil"/>
              <w:right w:val="single" w:sz="4" w:space="0" w:color="auto"/>
            </w:tcBorders>
            <w:shd w:val="clear" w:color="auto" w:fill="FFFFFF" w:themeFill="background1"/>
          </w:tcPr>
          <w:p w14:paraId="4B8EDDC5" w14:textId="342E50F5" w:rsidR="00B6254A" w:rsidRPr="00162386" w:rsidRDefault="00B6254A" w:rsidP="00162386">
            <w:pPr>
              <w:pStyle w:val="COMParaDecision"/>
              <w:numPr>
                <w:ilvl w:val="0"/>
                <w:numId w:val="0"/>
              </w:numPr>
              <w:spacing w:before="40" w:after="40"/>
              <w:jc w:val="left"/>
              <w:rPr>
                <w:u w:val="none"/>
              </w:rPr>
            </w:pPr>
            <w:r>
              <w:rPr>
                <w:u w:val="none"/>
              </w:rPr>
              <w:t>Malaisie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2DEBD63" w14:textId="6FE48484" w:rsidR="00B6254A" w:rsidRPr="00162386" w:rsidRDefault="00B6254A"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76144B3D" w14:textId="2CBCC107" w:rsidR="00B6254A" w:rsidRPr="006D7FBA" w:rsidRDefault="00B6254A" w:rsidP="00162386">
            <w:pPr>
              <w:pStyle w:val="COMParaDecision"/>
              <w:numPr>
                <w:ilvl w:val="0"/>
                <w:numId w:val="0"/>
              </w:numPr>
              <w:spacing w:before="40" w:after="40"/>
              <w:jc w:val="left"/>
              <w:rPr>
                <w:u w:val="none"/>
              </w:rPr>
            </w:pPr>
            <w:proofErr w:type="spellStart"/>
            <w:r w:rsidRPr="006D7FBA">
              <w:rPr>
                <w:u w:val="none"/>
              </w:rPr>
              <w:t>Silat</w:t>
            </w:r>
            <w:proofErr w:type="spellEnd"/>
            <w:r w:rsidRPr="006D7FBA">
              <w:rPr>
                <w:u w:val="none"/>
              </w:rPr>
              <w:t xml:space="preserve"> (01504)</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3975FEB" w14:textId="6045F3CC" w:rsidR="00B6254A" w:rsidRPr="00162386" w:rsidRDefault="00B6254A" w:rsidP="00162386">
            <w:pPr>
              <w:pStyle w:val="COMParaDecision"/>
              <w:numPr>
                <w:ilvl w:val="0"/>
                <w:numId w:val="0"/>
              </w:numPr>
              <w:spacing w:before="40" w:after="40"/>
              <w:jc w:val="left"/>
              <w:rPr>
                <w:u w:val="none"/>
              </w:rPr>
            </w:pPr>
            <w:r>
              <w:rPr>
                <w:u w:val="none"/>
              </w:rPr>
              <w:t>(iii) 1 élément inscrit</w:t>
            </w:r>
          </w:p>
        </w:tc>
      </w:tr>
      <w:tr w:rsidR="00EB650B" w:rsidRPr="00162386" w14:paraId="0867FE2E" w14:textId="77777777" w:rsidTr="006D7FBA">
        <w:tc>
          <w:tcPr>
            <w:tcW w:w="562" w:type="dxa"/>
            <w:shd w:val="clear" w:color="auto" w:fill="FFFFFF" w:themeFill="background1"/>
          </w:tcPr>
          <w:p w14:paraId="1A739E25" w14:textId="02262655" w:rsidR="00B6254A" w:rsidRPr="006D7FBA" w:rsidRDefault="00823DB0" w:rsidP="00162386">
            <w:pPr>
              <w:pStyle w:val="COMParaDecision"/>
              <w:numPr>
                <w:ilvl w:val="0"/>
                <w:numId w:val="0"/>
              </w:numPr>
              <w:spacing w:before="40" w:after="40"/>
              <w:jc w:val="left"/>
              <w:rPr>
                <w:u w:val="none"/>
              </w:rPr>
            </w:pPr>
            <w:r w:rsidRPr="006D7FBA">
              <w:rPr>
                <w:u w:val="none"/>
              </w:rPr>
              <w:t>50</w:t>
            </w:r>
          </w:p>
        </w:tc>
        <w:tc>
          <w:tcPr>
            <w:tcW w:w="2835" w:type="dxa"/>
            <w:tcBorders>
              <w:bottom w:val="nil"/>
              <w:right w:val="single" w:sz="4" w:space="0" w:color="auto"/>
            </w:tcBorders>
            <w:shd w:val="clear" w:color="auto" w:fill="FFFFFF" w:themeFill="background1"/>
          </w:tcPr>
          <w:p w14:paraId="6086B16E" w14:textId="0C1DEE80" w:rsidR="00B6254A" w:rsidRPr="00162386" w:rsidRDefault="00B6254A" w:rsidP="00162386">
            <w:pPr>
              <w:pStyle w:val="COMParaDecision"/>
              <w:numPr>
                <w:ilvl w:val="0"/>
                <w:numId w:val="0"/>
              </w:numPr>
              <w:spacing w:before="40" w:after="40"/>
              <w:jc w:val="left"/>
              <w:rPr>
                <w:u w:val="none"/>
              </w:rPr>
            </w:pPr>
            <w:r>
              <w:rPr>
                <w:u w:val="none"/>
              </w:rPr>
              <w:t>Panama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A51A772" w14:textId="14BF8A21" w:rsidR="00B6254A" w:rsidRPr="00162386" w:rsidRDefault="008F7D2B" w:rsidP="00162386">
            <w:pPr>
              <w:pStyle w:val="COMParaDecision"/>
              <w:numPr>
                <w:ilvl w:val="0"/>
                <w:numId w:val="0"/>
              </w:numPr>
              <w:spacing w:before="40" w:after="40"/>
              <w:jc w:val="left"/>
              <w:rPr>
                <w:u w:val="none"/>
              </w:rPr>
            </w:pPr>
            <w:r>
              <w:rPr>
                <w:u w:val="none"/>
              </w:rPr>
              <w:t>B</w:t>
            </w:r>
            <w:r w:rsidR="00B6254A">
              <w:rPr>
                <w:u w:val="none"/>
              </w:rPr>
              <w:t>PS</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19919C21" w14:textId="5E7CEDD6" w:rsidR="00B6254A" w:rsidRPr="006D7FBA" w:rsidRDefault="00B6254A" w:rsidP="00162386">
            <w:pPr>
              <w:pStyle w:val="COMParaDecision"/>
              <w:numPr>
                <w:ilvl w:val="0"/>
                <w:numId w:val="0"/>
              </w:numPr>
              <w:spacing w:before="40" w:after="40"/>
              <w:jc w:val="left"/>
              <w:rPr>
                <w:u w:val="none"/>
                <w:lang w:val="en-US"/>
              </w:rPr>
            </w:pPr>
            <w:r w:rsidRPr="006D7FBA">
              <w:rPr>
                <w:u w:val="none"/>
                <w:lang w:val="en-US"/>
              </w:rPr>
              <w:t xml:space="preserve">Ecological and cultural </w:t>
            </w:r>
            <w:proofErr w:type="spellStart"/>
            <w:r w:rsidRPr="006D7FBA">
              <w:rPr>
                <w:u w:val="none"/>
                <w:lang w:val="en-US"/>
              </w:rPr>
              <w:t>programme</w:t>
            </w:r>
            <w:proofErr w:type="spellEnd"/>
            <w:r w:rsidRPr="006D7FBA">
              <w:rPr>
                <w:u w:val="none"/>
                <w:lang w:val="en-US"/>
              </w:rPr>
              <w:t xml:space="preserve"> associated with the </w:t>
            </w:r>
            <w:proofErr w:type="spellStart"/>
            <w:r w:rsidRPr="006D7FBA">
              <w:rPr>
                <w:u w:val="none"/>
                <w:lang w:val="en-US"/>
              </w:rPr>
              <w:t>Armila</w:t>
            </w:r>
            <w:proofErr w:type="spellEnd"/>
            <w:r w:rsidRPr="006D7FBA">
              <w:rPr>
                <w:u w:val="none"/>
                <w:lang w:val="en-US"/>
              </w:rPr>
              <w:t xml:space="preserve"> Sea Turtle Festival (01481)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21F5E0E" w14:textId="79BD1B0E" w:rsidR="00B6254A" w:rsidRPr="00162386" w:rsidRDefault="00B6254A" w:rsidP="00162386">
            <w:pPr>
              <w:pStyle w:val="COMParaDecision"/>
              <w:numPr>
                <w:ilvl w:val="0"/>
                <w:numId w:val="0"/>
              </w:numPr>
              <w:spacing w:before="40" w:after="40"/>
              <w:jc w:val="left"/>
              <w:rPr>
                <w:u w:val="none"/>
              </w:rPr>
            </w:pPr>
            <w:r>
              <w:rPr>
                <w:u w:val="none"/>
              </w:rPr>
              <w:t>(iii) 1 élément inscrit</w:t>
            </w:r>
          </w:p>
        </w:tc>
      </w:tr>
      <w:tr w:rsidR="00EB650B" w:rsidRPr="00162386" w14:paraId="09407D9C" w14:textId="77777777" w:rsidTr="006D7FBA">
        <w:tc>
          <w:tcPr>
            <w:tcW w:w="562" w:type="dxa"/>
            <w:shd w:val="clear" w:color="auto" w:fill="FFFFFF" w:themeFill="background1"/>
          </w:tcPr>
          <w:p w14:paraId="6257523C" w14:textId="16644979" w:rsidR="00B6254A" w:rsidRPr="006D7FBA" w:rsidRDefault="00823DB0" w:rsidP="00162386">
            <w:pPr>
              <w:pStyle w:val="COMParaDecision"/>
              <w:numPr>
                <w:ilvl w:val="0"/>
                <w:numId w:val="0"/>
              </w:numPr>
              <w:spacing w:before="40" w:after="40"/>
              <w:jc w:val="left"/>
              <w:rPr>
                <w:u w:val="none"/>
              </w:rPr>
            </w:pPr>
            <w:r w:rsidRPr="006D7FBA">
              <w:rPr>
                <w:u w:val="none"/>
              </w:rPr>
              <w:t>51</w:t>
            </w:r>
          </w:p>
        </w:tc>
        <w:tc>
          <w:tcPr>
            <w:tcW w:w="2835" w:type="dxa"/>
            <w:tcBorders>
              <w:bottom w:val="nil"/>
              <w:right w:val="single" w:sz="4" w:space="0" w:color="auto"/>
            </w:tcBorders>
            <w:shd w:val="clear" w:color="auto" w:fill="FFFFFF" w:themeFill="background1"/>
          </w:tcPr>
          <w:p w14:paraId="4AFAB8F0" w14:textId="6E60C7FA" w:rsidR="00B6254A" w:rsidRPr="00162386" w:rsidRDefault="00B6254A" w:rsidP="00162386">
            <w:pPr>
              <w:pStyle w:val="COMParaDecision"/>
              <w:numPr>
                <w:ilvl w:val="0"/>
                <w:numId w:val="0"/>
              </w:numPr>
              <w:spacing w:before="40" w:after="40"/>
              <w:jc w:val="left"/>
              <w:rPr>
                <w:u w:val="none"/>
              </w:rPr>
            </w:pPr>
            <w:r>
              <w:rPr>
                <w:u w:val="none"/>
              </w:rPr>
              <w:t>Tadjikistan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F95B3AB" w14:textId="11E4ABFF" w:rsidR="00B6254A" w:rsidRPr="00162386" w:rsidRDefault="00B6254A" w:rsidP="00162386">
            <w:pPr>
              <w:pStyle w:val="COMParaDecision"/>
              <w:numPr>
                <w:ilvl w:val="0"/>
                <w:numId w:val="0"/>
              </w:numPr>
              <w:spacing w:before="40" w:after="40"/>
              <w:jc w:val="left"/>
              <w:rPr>
                <w:u w:val="none"/>
              </w:rPr>
            </w:pPr>
            <w:r>
              <w:rPr>
                <w:u w:val="none"/>
              </w:rPr>
              <w:t>LR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7D1A70D9" w14:textId="0CA717F4" w:rsidR="00B6254A" w:rsidRPr="006D7FBA" w:rsidRDefault="00B6254A" w:rsidP="00162386">
            <w:pPr>
              <w:pStyle w:val="COMParaDecision"/>
              <w:numPr>
                <w:ilvl w:val="0"/>
                <w:numId w:val="0"/>
              </w:numPr>
              <w:spacing w:before="40" w:after="40"/>
              <w:jc w:val="left"/>
              <w:rPr>
                <w:u w:val="none"/>
              </w:rPr>
            </w:pPr>
            <w:proofErr w:type="spellStart"/>
            <w:r w:rsidRPr="006D7FBA">
              <w:rPr>
                <w:u w:val="none"/>
              </w:rPr>
              <w:t>Falak</w:t>
            </w:r>
            <w:proofErr w:type="spellEnd"/>
            <w:r w:rsidRPr="006D7FBA">
              <w:rPr>
                <w:u w:val="none"/>
              </w:rPr>
              <w:t xml:space="preserve"> (01455)</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A682AD7" w14:textId="014E959B" w:rsidR="00B6254A" w:rsidRPr="00162386" w:rsidRDefault="00B6254A" w:rsidP="00162386">
            <w:pPr>
              <w:pStyle w:val="COMParaDecision"/>
              <w:numPr>
                <w:ilvl w:val="0"/>
                <w:numId w:val="0"/>
              </w:numPr>
              <w:spacing w:before="40" w:after="40"/>
              <w:jc w:val="left"/>
              <w:rPr>
                <w:u w:val="none"/>
              </w:rPr>
            </w:pPr>
            <w:r>
              <w:rPr>
                <w:u w:val="none"/>
              </w:rPr>
              <w:t>(iii) 1 élément inscrit</w:t>
            </w:r>
          </w:p>
        </w:tc>
      </w:tr>
      <w:tr w:rsidR="00162386" w:rsidRPr="003D6A1F" w14:paraId="2D3A72F9" w14:textId="77777777" w:rsidTr="006D7FBA">
        <w:tc>
          <w:tcPr>
            <w:tcW w:w="145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9FCAF9" w14:textId="33C49365" w:rsidR="00162386" w:rsidRPr="006D7FBA" w:rsidRDefault="0075127A" w:rsidP="0075127A">
            <w:pPr>
              <w:pStyle w:val="COMParaDecision"/>
              <w:numPr>
                <w:ilvl w:val="0"/>
                <w:numId w:val="0"/>
              </w:numPr>
              <w:spacing w:before="40" w:after="40"/>
              <w:jc w:val="center"/>
              <w:rPr>
                <w:u w:val="none"/>
              </w:rPr>
            </w:pPr>
            <w:r w:rsidRPr="006D7FBA">
              <w:rPr>
                <w:b/>
                <w:bCs/>
                <w:u w:val="none"/>
              </w:rPr>
              <w:t>États potentiellement prioritaires</w:t>
            </w:r>
            <w:r w:rsidR="00162386" w:rsidRPr="006D7FBA">
              <w:rPr>
                <w:b/>
                <w:bCs/>
                <w:u w:val="none"/>
              </w:rPr>
              <w:t xml:space="preserve"> </w:t>
            </w:r>
            <w:r w:rsidRPr="006D7FBA">
              <w:rPr>
                <w:b/>
                <w:bCs/>
                <w:u w:val="none"/>
              </w:rPr>
              <w:t>pour le cycle</w:t>
            </w:r>
            <w:r w:rsidR="00162386" w:rsidRPr="006D7FBA">
              <w:rPr>
                <w:b/>
                <w:bCs/>
                <w:u w:val="none"/>
              </w:rPr>
              <w:t xml:space="preserve"> 2020</w:t>
            </w:r>
          </w:p>
        </w:tc>
      </w:tr>
      <w:tr w:rsidR="00EB650B" w:rsidRPr="00162386" w14:paraId="3ABD4BFB" w14:textId="77777777" w:rsidTr="006D7FBA">
        <w:tc>
          <w:tcPr>
            <w:tcW w:w="562" w:type="dxa"/>
            <w:shd w:val="clear" w:color="auto" w:fill="FFFFFF" w:themeFill="background1"/>
          </w:tcPr>
          <w:p w14:paraId="6324FA1C" w14:textId="3C1568FE" w:rsidR="00B6254A" w:rsidRPr="006D7FBA" w:rsidRDefault="00823DB0" w:rsidP="00162386">
            <w:pPr>
              <w:pStyle w:val="COMParaDecision"/>
              <w:numPr>
                <w:ilvl w:val="0"/>
                <w:numId w:val="0"/>
              </w:numPr>
              <w:spacing w:before="40" w:after="40"/>
              <w:jc w:val="left"/>
              <w:rPr>
                <w:u w:val="none"/>
              </w:rPr>
            </w:pPr>
            <w:r w:rsidRPr="006D7FBA">
              <w:rPr>
                <w:u w:val="none"/>
              </w:rPr>
              <w:t>52</w:t>
            </w:r>
          </w:p>
        </w:tc>
        <w:tc>
          <w:tcPr>
            <w:tcW w:w="2835" w:type="dxa"/>
            <w:tcBorders>
              <w:bottom w:val="nil"/>
              <w:right w:val="single" w:sz="4" w:space="0" w:color="auto"/>
            </w:tcBorders>
            <w:shd w:val="clear" w:color="auto" w:fill="FFFFFF" w:themeFill="background1"/>
          </w:tcPr>
          <w:p w14:paraId="1C9BFF48" w14:textId="023B0ED0" w:rsidR="00B6254A" w:rsidRPr="00162386" w:rsidRDefault="00B6254A" w:rsidP="00162386">
            <w:pPr>
              <w:pStyle w:val="COMParaDecision"/>
              <w:numPr>
                <w:ilvl w:val="0"/>
                <w:numId w:val="0"/>
              </w:numPr>
              <w:spacing w:before="40" w:after="40"/>
              <w:jc w:val="left"/>
              <w:rPr>
                <w:u w:val="none"/>
              </w:rPr>
            </w:pPr>
            <w:r>
              <w:rPr>
                <w:u w:val="none"/>
              </w:rPr>
              <w:t>Bosnie-Herzégovine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79D3158" w14:textId="77777777" w:rsidR="00B6254A" w:rsidRPr="00162386" w:rsidRDefault="00B6254A" w:rsidP="00162386">
            <w:pPr>
              <w:pStyle w:val="COMParaDecision"/>
              <w:numPr>
                <w:ilvl w:val="0"/>
                <w:numId w:val="0"/>
              </w:numPr>
              <w:spacing w:before="40" w:after="40"/>
              <w:jc w:val="left"/>
              <w:rPr>
                <w:u w:val="none"/>
              </w:rPr>
            </w:pP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547ABBAF" w14:textId="77777777" w:rsidR="00B6254A" w:rsidRPr="00162386" w:rsidRDefault="00B6254A" w:rsidP="00162386">
            <w:pPr>
              <w:pStyle w:val="COMParaDecision"/>
              <w:numPr>
                <w:ilvl w:val="0"/>
                <w:numId w:val="0"/>
              </w:numPr>
              <w:spacing w:before="40" w:after="40"/>
              <w:jc w:val="left"/>
              <w:rPr>
                <w:u w:val="none"/>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37F03B1" w14:textId="2EB3E501" w:rsidR="00B6254A" w:rsidRPr="00162386" w:rsidRDefault="00B6254A" w:rsidP="00162386">
            <w:pPr>
              <w:pStyle w:val="COMParaDecision"/>
              <w:numPr>
                <w:ilvl w:val="0"/>
                <w:numId w:val="0"/>
              </w:numPr>
              <w:spacing w:before="40" w:after="40"/>
              <w:jc w:val="left"/>
              <w:rPr>
                <w:u w:val="none"/>
              </w:rPr>
            </w:pPr>
            <w:r>
              <w:rPr>
                <w:u w:val="none"/>
              </w:rPr>
              <w:t>2 éléments inscrits</w:t>
            </w:r>
          </w:p>
        </w:tc>
      </w:tr>
      <w:tr w:rsidR="00EB650B" w:rsidRPr="00162386" w14:paraId="1C1031E9" w14:textId="77777777" w:rsidTr="006D7FBA">
        <w:tc>
          <w:tcPr>
            <w:tcW w:w="562" w:type="dxa"/>
            <w:shd w:val="clear" w:color="auto" w:fill="FFFFFF" w:themeFill="background1"/>
          </w:tcPr>
          <w:p w14:paraId="0F70C384" w14:textId="32CD58FD" w:rsidR="00B6254A" w:rsidRPr="006D7FBA" w:rsidRDefault="00823DB0" w:rsidP="00162386">
            <w:pPr>
              <w:pStyle w:val="COMParaDecision"/>
              <w:numPr>
                <w:ilvl w:val="0"/>
                <w:numId w:val="0"/>
              </w:numPr>
              <w:spacing w:before="40" w:after="40"/>
              <w:jc w:val="left"/>
              <w:rPr>
                <w:u w:val="none"/>
              </w:rPr>
            </w:pPr>
            <w:r w:rsidRPr="006D7FBA">
              <w:rPr>
                <w:u w:val="none"/>
              </w:rPr>
              <w:t>53</w:t>
            </w:r>
          </w:p>
        </w:tc>
        <w:tc>
          <w:tcPr>
            <w:tcW w:w="2835" w:type="dxa"/>
            <w:tcBorders>
              <w:bottom w:val="nil"/>
              <w:right w:val="single" w:sz="4" w:space="0" w:color="auto"/>
            </w:tcBorders>
            <w:shd w:val="clear" w:color="auto" w:fill="FFFFFF" w:themeFill="background1"/>
          </w:tcPr>
          <w:p w14:paraId="74094AA2" w14:textId="741EB15B" w:rsidR="00B6254A" w:rsidRPr="00162386" w:rsidRDefault="00B6254A" w:rsidP="00162386">
            <w:pPr>
              <w:pStyle w:val="COMParaDecision"/>
              <w:numPr>
                <w:ilvl w:val="0"/>
                <w:numId w:val="0"/>
              </w:numPr>
              <w:spacing w:before="40" w:after="40"/>
              <w:jc w:val="left"/>
              <w:rPr>
                <w:u w:val="none"/>
              </w:rPr>
            </w:pPr>
            <w:r>
              <w:rPr>
                <w:u w:val="none"/>
              </w:rPr>
              <w:t>République populaire démocratique de Corée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3812516" w14:textId="77777777" w:rsidR="00B6254A" w:rsidRPr="00162386" w:rsidRDefault="00B6254A" w:rsidP="00162386">
            <w:pPr>
              <w:pStyle w:val="COMParaDecision"/>
              <w:numPr>
                <w:ilvl w:val="0"/>
                <w:numId w:val="0"/>
              </w:numPr>
              <w:spacing w:before="40" w:after="40"/>
              <w:jc w:val="left"/>
              <w:rPr>
                <w:u w:val="none"/>
              </w:rPr>
            </w:pP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2C7876C3" w14:textId="77777777" w:rsidR="00B6254A" w:rsidRPr="00162386" w:rsidRDefault="00B6254A" w:rsidP="00162386">
            <w:pPr>
              <w:pStyle w:val="COMParaDecision"/>
              <w:numPr>
                <w:ilvl w:val="0"/>
                <w:numId w:val="0"/>
              </w:numPr>
              <w:spacing w:before="40" w:after="40"/>
              <w:jc w:val="left"/>
              <w:rPr>
                <w:u w:val="none"/>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470F267" w14:textId="5886E58C" w:rsidR="00B6254A" w:rsidRPr="00162386" w:rsidRDefault="00B6254A" w:rsidP="00162386">
            <w:pPr>
              <w:pStyle w:val="COMParaDecision"/>
              <w:numPr>
                <w:ilvl w:val="0"/>
                <w:numId w:val="0"/>
              </w:numPr>
              <w:spacing w:before="40" w:after="40"/>
              <w:jc w:val="left"/>
              <w:rPr>
                <w:u w:val="none"/>
              </w:rPr>
            </w:pPr>
            <w:r>
              <w:rPr>
                <w:u w:val="none"/>
              </w:rPr>
              <w:t>2 éléments inscrits</w:t>
            </w:r>
          </w:p>
        </w:tc>
      </w:tr>
      <w:tr w:rsidR="00EB650B" w:rsidRPr="00162386" w14:paraId="262775D1" w14:textId="77777777" w:rsidTr="006D7FBA">
        <w:tc>
          <w:tcPr>
            <w:tcW w:w="562" w:type="dxa"/>
            <w:shd w:val="clear" w:color="auto" w:fill="FFFFFF" w:themeFill="background1"/>
          </w:tcPr>
          <w:p w14:paraId="1DA303BC" w14:textId="19425622" w:rsidR="00B6254A" w:rsidRPr="006D7FBA" w:rsidRDefault="00823DB0" w:rsidP="00162386">
            <w:pPr>
              <w:pStyle w:val="COMParaDecision"/>
              <w:numPr>
                <w:ilvl w:val="0"/>
                <w:numId w:val="0"/>
              </w:numPr>
              <w:spacing w:before="40" w:after="40"/>
              <w:jc w:val="left"/>
              <w:rPr>
                <w:u w:val="none"/>
              </w:rPr>
            </w:pPr>
            <w:r w:rsidRPr="006D7FBA">
              <w:rPr>
                <w:u w:val="none"/>
              </w:rPr>
              <w:t>54</w:t>
            </w:r>
          </w:p>
        </w:tc>
        <w:tc>
          <w:tcPr>
            <w:tcW w:w="2835" w:type="dxa"/>
            <w:tcBorders>
              <w:bottom w:val="nil"/>
              <w:right w:val="single" w:sz="4" w:space="0" w:color="auto"/>
            </w:tcBorders>
            <w:shd w:val="clear" w:color="auto" w:fill="FFFFFF" w:themeFill="background1"/>
          </w:tcPr>
          <w:p w14:paraId="11D311AD" w14:textId="169E869D" w:rsidR="00B6254A" w:rsidRPr="00162386" w:rsidRDefault="00B6254A" w:rsidP="00162386">
            <w:pPr>
              <w:pStyle w:val="COMParaDecision"/>
              <w:numPr>
                <w:ilvl w:val="0"/>
                <w:numId w:val="0"/>
              </w:numPr>
              <w:spacing w:before="40" w:after="40"/>
              <w:jc w:val="left"/>
              <w:rPr>
                <w:u w:val="none"/>
              </w:rPr>
            </w:pPr>
            <w:r>
              <w:rPr>
                <w:u w:val="none"/>
              </w:rPr>
              <w:t>Allemagne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959CD2C" w14:textId="77777777" w:rsidR="00B6254A" w:rsidRPr="00162386" w:rsidRDefault="00B6254A" w:rsidP="00162386">
            <w:pPr>
              <w:pStyle w:val="COMParaDecision"/>
              <w:numPr>
                <w:ilvl w:val="0"/>
                <w:numId w:val="0"/>
              </w:numPr>
              <w:spacing w:before="40" w:after="40"/>
              <w:jc w:val="left"/>
              <w:rPr>
                <w:u w:val="none"/>
              </w:rPr>
            </w:pP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3520FB15" w14:textId="77777777" w:rsidR="00B6254A" w:rsidRPr="00162386" w:rsidRDefault="00B6254A" w:rsidP="00162386">
            <w:pPr>
              <w:pStyle w:val="COMParaDecision"/>
              <w:numPr>
                <w:ilvl w:val="0"/>
                <w:numId w:val="0"/>
              </w:numPr>
              <w:spacing w:before="40" w:after="40"/>
              <w:jc w:val="left"/>
              <w:rPr>
                <w:u w:val="none"/>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D4D3643" w14:textId="5A9EF253" w:rsidR="00B6254A" w:rsidRPr="00162386" w:rsidRDefault="00B6254A" w:rsidP="00162386">
            <w:pPr>
              <w:pStyle w:val="COMParaDecision"/>
              <w:numPr>
                <w:ilvl w:val="0"/>
                <w:numId w:val="0"/>
              </w:numPr>
              <w:spacing w:before="40" w:after="40"/>
              <w:jc w:val="left"/>
              <w:rPr>
                <w:u w:val="none"/>
              </w:rPr>
            </w:pPr>
            <w:r>
              <w:rPr>
                <w:u w:val="none"/>
              </w:rPr>
              <w:t>2 éléments inscrits</w:t>
            </w:r>
          </w:p>
        </w:tc>
      </w:tr>
      <w:tr w:rsidR="00EB650B" w:rsidRPr="00162386" w14:paraId="75DD1C85" w14:textId="77777777" w:rsidTr="006D7FBA">
        <w:tc>
          <w:tcPr>
            <w:tcW w:w="562" w:type="dxa"/>
            <w:shd w:val="clear" w:color="auto" w:fill="FFFFFF" w:themeFill="background1"/>
          </w:tcPr>
          <w:p w14:paraId="3A47886F" w14:textId="5E968AFC" w:rsidR="00B6254A" w:rsidRPr="006D7FBA" w:rsidRDefault="00823DB0" w:rsidP="00162386">
            <w:pPr>
              <w:pStyle w:val="COMParaDecision"/>
              <w:numPr>
                <w:ilvl w:val="0"/>
                <w:numId w:val="0"/>
              </w:numPr>
              <w:spacing w:before="40" w:after="40"/>
              <w:jc w:val="left"/>
              <w:rPr>
                <w:u w:val="none"/>
              </w:rPr>
            </w:pPr>
            <w:r w:rsidRPr="006D7FBA">
              <w:rPr>
                <w:u w:val="none"/>
              </w:rPr>
              <w:t>55</w:t>
            </w:r>
          </w:p>
        </w:tc>
        <w:tc>
          <w:tcPr>
            <w:tcW w:w="2835" w:type="dxa"/>
            <w:tcBorders>
              <w:bottom w:val="nil"/>
              <w:right w:val="single" w:sz="4" w:space="0" w:color="auto"/>
            </w:tcBorders>
            <w:shd w:val="clear" w:color="auto" w:fill="FFFFFF" w:themeFill="background1"/>
          </w:tcPr>
          <w:p w14:paraId="6549D0FB" w14:textId="4A391472" w:rsidR="00B6254A" w:rsidRPr="00162386" w:rsidRDefault="00B6254A" w:rsidP="00162386">
            <w:pPr>
              <w:pStyle w:val="COMParaDecision"/>
              <w:numPr>
                <w:ilvl w:val="0"/>
                <w:numId w:val="0"/>
              </w:numPr>
              <w:spacing w:before="40" w:after="40"/>
              <w:jc w:val="left"/>
              <w:rPr>
                <w:u w:val="none"/>
              </w:rPr>
            </w:pPr>
            <w:r>
              <w:rPr>
                <w:u w:val="none"/>
              </w:rPr>
              <w:t>Oman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BE31209" w14:textId="77777777" w:rsidR="00B6254A" w:rsidRPr="00162386" w:rsidRDefault="00B6254A" w:rsidP="00162386">
            <w:pPr>
              <w:pStyle w:val="COMParaDecision"/>
              <w:numPr>
                <w:ilvl w:val="0"/>
                <w:numId w:val="0"/>
              </w:numPr>
              <w:spacing w:before="40" w:after="40"/>
              <w:jc w:val="left"/>
              <w:rPr>
                <w:u w:val="none"/>
              </w:rPr>
            </w:pP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3137CFD8" w14:textId="77777777" w:rsidR="00B6254A" w:rsidRPr="00162386" w:rsidRDefault="00B6254A" w:rsidP="00162386">
            <w:pPr>
              <w:pStyle w:val="COMParaDecision"/>
              <w:numPr>
                <w:ilvl w:val="0"/>
                <w:numId w:val="0"/>
              </w:numPr>
              <w:spacing w:before="40" w:after="40"/>
              <w:jc w:val="left"/>
              <w:rPr>
                <w:u w:val="none"/>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52D4C83" w14:textId="0AD23D5F" w:rsidR="00B6254A" w:rsidRPr="00162386" w:rsidRDefault="00B6254A" w:rsidP="00162386">
            <w:pPr>
              <w:pStyle w:val="COMParaDecision"/>
              <w:numPr>
                <w:ilvl w:val="0"/>
                <w:numId w:val="0"/>
              </w:numPr>
              <w:spacing w:before="40" w:after="40"/>
              <w:jc w:val="left"/>
              <w:rPr>
                <w:u w:val="none"/>
              </w:rPr>
            </w:pPr>
            <w:r>
              <w:rPr>
                <w:u w:val="none"/>
              </w:rPr>
              <w:t>2 éléments inscrits</w:t>
            </w:r>
          </w:p>
        </w:tc>
      </w:tr>
      <w:tr w:rsidR="00EB650B" w:rsidRPr="00162386" w14:paraId="4E697B24" w14:textId="77777777" w:rsidTr="006D7FBA">
        <w:tc>
          <w:tcPr>
            <w:tcW w:w="562" w:type="dxa"/>
            <w:shd w:val="clear" w:color="auto" w:fill="FFFFFF" w:themeFill="background1"/>
          </w:tcPr>
          <w:p w14:paraId="4B7C8D20" w14:textId="72C99D16" w:rsidR="00B6254A" w:rsidRPr="006D7FBA" w:rsidRDefault="00823DB0" w:rsidP="00162386">
            <w:pPr>
              <w:pStyle w:val="COMParaDecision"/>
              <w:numPr>
                <w:ilvl w:val="0"/>
                <w:numId w:val="0"/>
              </w:numPr>
              <w:spacing w:before="40" w:after="40"/>
              <w:jc w:val="left"/>
              <w:rPr>
                <w:u w:val="none"/>
              </w:rPr>
            </w:pPr>
            <w:r w:rsidRPr="006D7FBA">
              <w:rPr>
                <w:u w:val="none"/>
              </w:rPr>
              <w:t>55</w:t>
            </w:r>
          </w:p>
        </w:tc>
        <w:tc>
          <w:tcPr>
            <w:tcW w:w="2835" w:type="dxa"/>
            <w:tcBorders>
              <w:bottom w:val="single" w:sz="4" w:space="0" w:color="auto"/>
              <w:right w:val="single" w:sz="4" w:space="0" w:color="auto"/>
            </w:tcBorders>
            <w:shd w:val="clear" w:color="auto" w:fill="FFFFFF" w:themeFill="background1"/>
          </w:tcPr>
          <w:p w14:paraId="043EEF07" w14:textId="65F8ACF9" w:rsidR="00B6254A" w:rsidRPr="00162386" w:rsidRDefault="00B6254A" w:rsidP="00162386">
            <w:pPr>
              <w:pStyle w:val="COMParaDecision"/>
              <w:numPr>
                <w:ilvl w:val="0"/>
                <w:numId w:val="0"/>
              </w:numPr>
              <w:spacing w:before="40" w:after="40"/>
              <w:jc w:val="left"/>
              <w:rPr>
                <w:u w:val="none"/>
              </w:rPr>
            </w:pPr>
            <w:r>
              <w:rPr>
                <w:u w:val="none"/>
              </w:rPr>
              <w:t>Serbie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D649051" w14:textId="77777777" w:rsidR="00B6254A" w:rsidRPr="00162386" w:rsidRDefault="00B6254A" w:rsidP="00162386">
            <w:pPr>
              <w:pStyle w:val="COMParaDecision"/>
              <w:numPr>
                <w:ilvl w:val="0"/>
                <w:numId w:val="0"/>
              </w:numPr>
              <w:spacing w:before="40" w:after="40"/>
              <w:jc w:val="left"/>
              <w:rPr>
                <w:u w:val="none"/>
              </w:rPr>
            </w:pP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16017D26" w14:textId="77777777" w:rsidR="00B6254A" w:rsidRPr="00162386" w:rsidRDefault="00B6254A" w:rsidP="00162386">
            <w:pPr>
              <w:pStyle w:val="COMParaDecision"/>
              <w:numPr>
                <w:ilvl w:val="0"/>
                <w:numId w:val="0"/>
              </w:numPr>
              <w:spacing w:before="40" w:after="40"/>
              <w:jc w:val="left"/>
              <w:rPr>
                <w:u w:val="none"/>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22AC8E3" w14:textId="1010BA28" w:rsidR="00B6254A" w:rsidRPr="00162386" w:rsidRDefault="00B6254A" w:rsidP="00162386">
            <w:pPr>
              <w:pStyle w:val="COMParaDecision"/>
              <w:numPr>
                <w:ilvl w:val="0"/>
                <w:numId w:val="0"/>
              </w:numPr>
              <w:spacing w:before="40" w:after="40"/>
              <w:jc w:val="left"/>
              <w:rPr>
                <w:u w:val="none"/>
              </w:rPr>
            </w:pPr>
            <w:r>
              <w:rPr>
                <w:u w:val="none"/>
              </w:rPr>
              <w:t>2 éléments inscrits</w:t>
            </w:r>
          </w:p>
        </w:tc>
      </w:tr>
      <w:tr w:rsidR="00EB650B" w:rsidRPr="00162386" w14:paraId="5BE7C442" w14:textId="77777777" w:rsidTr="006D7FBA">
        <w:tc>
          <w:tcPr>
            <w:tcW w:w="562" w:type="dxa"/>
            <w:tcBorders>
              <w:right w:val="single" w:sz="4" w:space="0" w:color="auto"/>
            </w:tcBorders>
            <w:shd w:val="clear" w:color="auto" w:fill="FFFFFF" w:themeFill="background1"/>
          </w:tcPr>
          <w:p w14:paraId="2442CF79" w14:textId="2D76034F" w:rsidR="00B6254A" w:rsidRPr="006D7FBA" w:rsidRDefault="00823DB0" w:rsidP="00162386">
            <w:pPr>
              <w:pStyle w:val="COMParaDecision"/>
              <w:numPr>
                <w:ilvl w:val="0"/>
                <w:numId w:val="0"/>
              </w:numPr>
              <w:spacing w:before="40" w:after="40"/>
              <w:jc w:val="left"/>
              <w:rPr>
                <w:u w:val="none"/>
              </w:rPr>
            </w:pPr>
            <w:r w:rsidRPr="006D7FBA">
              <w:rPr>
                <w:u w:val="none"/>
              </w:rPr>
              <w:t>57</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321E1732" w14:textId="3E8CBFC7" w:rsidR="00B6254A" w:rsidRPr="00162386" w:rsidRDefault="00B6254A" w:rsidP="00162386">
            <w:pPr>
              <w:pStyle w:val="COMParaDecision"/>
              <w:numPr>
                <w:ilvl w:val="0"/>
                <w:numId w:val="0"/>
              </w:numPr>
              <w:spacing w:before="40" w:after="40"/>
              <w:jc w:val="left"/>
              <w:rPr>
                <w:u w:val="none"/>
              </w:rPr>
            </w:pPr>
            <w:r>
              <w:rPr>
                <w:u w:val="none"/>
              </w:rPr>
              <w:t>Émirats arabes unis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76CB986" w14:textId="77777777" w:rsidR="00B6254A" w:rsidRPr="00162386" w:rsidRDefault="00B6254A" w:rsidP="00162386">
            <w:pPr>
              <w:pStyle w:val="COMParaDecision"/>
              <w:numPr>
                <w:ilvl w:val="0"/>
                <w:numId w:val="0"/>
              </w:numPr>
              <w:spacing w:before="40" w:after="40"/>
              <w:jc w:val="left"/>
              <w:rPr>
                <w:u w:val="none"/>
              </w:rPr>
            </w:pP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311613C9" w14:textId="77777777" w:rsidR="00B6254A" w:rsidRPr="00162386" w:rsidRDefault="00B6254A" w:rsidP="00162386">
            <w:pPr>
              <w:pStyle w:val="COMParaDecision"/>
              <w:numPr>
                <w:ilvl w:val="0"/>
                <w:numId w:val="0"/>
              </w:numPr>
              <w:spacing w:before="40" w:after="40"/>
              <w:jc w:val="left"/>
              <w:rPr>
                <w:u w:val="none"/>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701D226" w14:textId="38A60C49" w:rsidR="00B6254A" w:rsidRPr="00162386" w:rsidRDefault="00B6254A" w:rsidP="00162386">
            <w:pPr>
              <w:pStyle w:val="COMParaDecision"/>
              <w:numPr>
                <w:ilvl w:val="0"/>
                <w:numId w:val="0"/>
              </w:numPr>
              <w:spacing w:before="40" w:after="40"/>
              <w:jc w:val="left"/>
              <w:rPr>
                <w:u w:val="none"/>
              </w:rPr>
            </w:pPr>
            <w:r>
              <w:rPr>
                <w:u w:val="none"/>
              </w:rPr>
              <w:t>2 éléments inscrits</w:t>
            </w:r>
          </w:p>
        </w:tc>
      </w:tr>
      <w:tr w:rsidR="00EB650B" w:rsidRPr="00162386" w14:paraId="1A74998B" w14:textId="77777777" w:rsidTr="006D7FBA">
        <w:tc>
          <w:tcPr>
            <w:tcW w:w="562" w:type="dxa"/>
            <w:shd w:val="clear" w:color="auto" w:fill="FFFFFF" w:themeFill="background1"/>
          </w:tcPr>
          <w:p w14:paraId="68AB159C" w14:textId="10360AFE" w:rsidR="00B6254A" w:rsidRPr="006D7FBA" w:rsidRDefault="00823DB0" w:rsidP="00162386">
            <w:pPr>
              <w:pStyle w:val="COMParaDecision"/>
              <w:numPr>
                <w:ilvl w:val="0"/>
                <w:numId w:val="0"/>
              </w:numPr>
              <w:spacing w:before="40" w:after="40"/>
              <w:jc w:val="left"/>
              <w:rPr>
                <w:u w:val="none"/>
              </w:rPr>
            </w:pPr>
            <w:r w:rsidRPr="006D7FBA">
              <w:rPr>
                <w:u w:val="none"/>
              </w:rPr>
              <w:lastRenderedPageBreak/>
              <w:t>58</w:t>
            </w:r>
          </w:p>
        </w:tc>
        <w:tc>
          <w:tcPr>
            <w:tcW w:w="2835" w:type="dxa"/>
            <w:tcBorders>
              <w:top w:val="single" w:sz="4" w:space="0" w:color="auto"/>
              <w:bottom w:val="nil"/>
              <w:right w:val="single" w:sz="4" w:space="0" w:color="auto"/>
            </w:tcBorders>
            <w:shd w:val="clear" w:color="auto" w:fill="FFFFFF" w:themeFill="background1"/>
          </w:tcPr>
          <w:p w14:paraId="0668E016" w14:textId="2800B84E" w:rsidR="00B6254A" w:rsidRPr="00162386" w:rsidRDefault="00B6254A" w:rsidP="00162386">
            <w:pPr>
              <w:pStyle w:val="COMParaDecision"/>
              <w:numPr>
                <w:ilvl w:val="0"/>
                <w:numId w:val="0"/>
              </w:numPr>
              <w:spacing w:before="40" w:after="40"/>
              <w:jc w:val="left"/>
              <w:rPr>
                <w:u w:val="none"/>
              </w:rPr>
            </w:pPr>
            <w:r>
              <w:rPr>
                <w:u w:val="none"/>
              </w:rPr>
              <w:t>Cuba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0695A61" w14:textId="77777777" w:rsidR="00B6254A" w:rsidRPr="00162386" w:rsidRDefault="00B6254A" w:rsidP="00162386">
            <w:pPr>
              <w:pStyle w:val="COMParaDecision"/>
              <w:numPr>
                <w:ilvl w:val="0"/>
                <w:numId w:val="0"/>
              </w:numPr>
              <w:spacing w:before="40" w:after="40"/>
              <w:jc w:val="left"/>
              <w:rPr>
                <w:u w:val="none"/>
              </w:rPr>
            </w:pP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64BCD90F" w14:textId="77777777" w:rsidR="00B6254A" w:rsidRPr="00162386" w:rsidRDefault="00B6254A" w:rsidP="00162386">
            <w:pPr>
              <w:pStyle w:val="COMParaDecision"/>
              <w:numPr>
                <w:ilvl w:val="0"/>
                <w:numId w:val="0"/>
              </w:numPr>
              <w:spacing w:before="40" w:after="40"/>
              <w:jc w:val="left"/>
              <w:rPr>
                <w:u w:val="none"/>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BDFF988" w14:textId="3EAB5417" w:rsidR="00B6254A" w:rsidRPr="00162386" w:rsidRDefault="00B6254A" w:rsidP="00162386">
            <w:pPr>
              <w:pStyle w:val="COMParaDecision"/>
              <w:numPr>
                <w:ilvl w:val="0"/>
                <w:numId w:val="0"/>
              </w:numPr>
              <w:spacing w:before="40" w:after="40"/>
              <w:jc w:val="left"/>
              <w:rPr>
                <w:u w:val="none"/>
              </w:rPr>
            </w:pPr>
            <w:r>
              <w:rPr>
                <w:u w:val="none"/>
              </w:rPr>
              <w:t>3 éléments inscrits</w:t>
            </w:r>
          </w:p>
        </w:tc>
      </w:tr>
      <w:tr w:rsidR="00EB650B" w:rsidRPr="00162386" w14:paraId="01894EA2" w14:textId="77777777" w:rsidTr="006D7FBA">
        <w:tc>
          <w:tcPr>
            <w:tcW w:w="562" w:type="dxa"/>
            <w:shd w:val="clear" w:color="auto" w:fill="FFFFFF" w:themeFill="background1"/>
          </w:tcPr>
          <w:p w14:paraId="19FDE202" w14:textId="2F93C00C" w:rsidR="00B6254A" w:rsidRPr="006D7FBA" w:rsidRDefault="00823DB0" w:rsidP="00162386">
            <w:pPr>
              <w:pStyle w:val="COMParaDecision"/>
              <w:numPr>
                <w:ilvl w:val="0"/>
                <w:numId w:val="0"/>
              </w:numPr>
              <w:spacing w:before="40" w:after="40"/>
              <w:jc w:val="left"/>
              <w:rPr>
                <w:u w:val="none"/>
              </w:rPr>
            </w:pPr>
            <w:r w:rsidRPr="006D7FBA">
              <w:rPr>
                <w:u w:val="none"/>
              </w:rPr>
              <w:t>59</w:t>
            </w:r>
          </w:p>
        </w:tc>
        <w:tc>
          <w:tcPr>
            <w:tcW w:w="2835" w:type="dxa"/>
            <w:tcBorders>
              <w:bottom w:val="nil"/>
              <w:right w:val="single" w:sz="4" w:space="0" w:color="auto"/>
            </w:tcBorders>
            <w:shd w:val="clear" w:color="auto" w:fill="FFFFFF" w:themeFill="background1"/>
          </w:tcPr>
          <w:p w14:paraId="3BD42884" w14:textId="28562719" w:rsidR="00B6254A" w:rsidRPr="00162386" w:rsidRDefault="00B6254A" w:rsidP="00162386">
            <w:pPr>
              <w:pStyle w:val="COMParaDecision"/>
              <w:numPr>
                <w:ilvl w:val="0"/>
                <w:numId w:val="0"/>
              </w:numPr>
              <w:spacing w:before="40" w:after="40"/>
              <w:jc w:val="left"/>
              <w:rPr>
                <w:u w:val="none"/>
              </w:rPr>
            </w:pPr>
            <w:r>
              <w:rPr>
                <w:u w:val="none"/>
              </w:rPr>
              <w:t>Tchéquie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52315DC" w14:textId="77777777" w:rsidR="00B6254A" w:rsidRPr="00162386" w:rsidRDefault="00B6254A" w:rsidP="00162386">
            <w:pPr>
              <w:pStyle w:val="COMParaDecision"/>
              <w:numPr>
                <w:ilvl w:val="0"/>
                <w:numId w:val="0"/>
              </w:numPr>
              <w:spacing w:before="40" w:after="40"/>
              <w:jc w:val="left"/>
              <w:rPr>
                <w:u w:val="none"/>
              </w:rPr>
            </w:pP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3E0A84D2" w14:textId="77777777" w:rsidR="00B6254A" w:rsidRPr="00162386" w:rsidRDefault="00B6254A" w:rsidP="00162386">
            <w:pPr>
              <w:pStyle w:val="COMParaDecision"/>
              <w:numPr>
                <w:ilvl w:val="0"/>
                <w:numId w:val="0"/>
              </w:numPr>
              <w:spacing w:before="40" w:after="40"/>
              <w:jc w:val="left"/>
              <w:rPr>
                <w:u w:val="none"/>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4963558" w14:textId="0C26A9ED" w:rsidR="00B6254A" w:rsidRPr="00162386" w:rsidRDefault="00B6254A" w:rsidP="00162386">
            <w:pPr>
              <w:pStyle w:val="COMParaDecision"/>
              <w:numPr>
                <w:ilvl w:val="0"/>
                <w:numId w:val="0"/>
              </w:numPr>
              <w:spacing w:before="40" w:after="40"/>
              <w:jc w:val="left"/>
              <w:rPr>
                <w:u w:val="none"/>
              </w:rPr>
            </w:pPr>
            <w:r>
              <w:rPr>
                <w:u w:val="none"/>
              </w:rPr>
              <w:t>3 éléments inscrits</w:t>
            </w:r>
          </w:p>
        </w:tc>
      </w:tr>
      <w:tr w:rsidR="00EB650B" w:rsidRPr="00162386" w14:paraId="21C06591" w14:textId="77777777" w:rsidTr="006D7FBA">
        <w:tc>
          <w:tcPr>
            <w:tcW w:w="562" w:type="dxa"/>
            <w:shd w:val="clear" w:color="auto" w:fill="FFFFFF" w:themeFill="background1"/>
          </w:tcPr>
          <w:p w14:paraId="091BBB9F" w14:textId="4378B635" w:rsidR="00B6254A" w:rsidRPr="006D7FBA" w:rsidRDefault="00823DB0" w:rsidP="00162386">
            <w:pPr>
              <w:pStyle w:val="COMParaDecision"/>
              <w:numPr>
                <w:ilvl w:val="0"/>
                <w:numId w:val="0"/>
              </w:numPr>
              <w:spacing w:before="40" w:after="40"/>
              <w:jc w:val="left"/>
              <w:rPr>
                <w:u w:val="none"/>
              </w:rPr>
            </w:pPr>
            <w:r w:rsidRPr="006D7FBA">
              <w:rPr>
                <w:u w:val="none"/>
              </w:rPr>
              <w:t>60</w:t>
            </w:r>
          </w:p>
        </w:tc>
        <w:tc>
          <w:tcPr>
            <w:tcW w:w="2835" w:type="dxa"/>
            <w:tcBorders>
              <w:bottom w:val="nil"/>
              <w:right w:val="single" w:sz="4" w:space="0" w:color="auto"/>
            </w:tcBorders>
            <w:shd w:val="clear" w:color="auto" w:fill="FFFFFF" w:themeFill="background1"/>
          </w:tcPr>
          <w:p w14:paraId="07F974D1" w14:textId="44CB38D5" w:rsidR="00B6254A" w:rsidRPr="00162386" w:rsidRDefault="00B6254A" w:rsidP="00162386">
            <w:pPr>
              <w:pStyle w:val="COMParaDecision"/>
              <w:numPr>
                <w:ilvl w:val="0"/>
                <w:numId w:val="0"/>
              </w:numPr>
              <w:spacing w:before="40" w:after="40"/>
              <w:jc w:val="left"/>
              <w:rPr>
                <w:u w:val="none"/>
              </w:rPr>
            </w:pPr>
            <w:r>
              <w:rPr>
                <w:u w:val="none"/>
              </w:rPr>
              <w:t>Kazakhstan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803364B" w14:textId="77777777" w:rsidR="00B6254A" w:rsidRPr="00162386" w:rsidRDefault="00B6254A" w:rsidP="00162386">
            <w:pPr>
              <w:pStyle w:val="COMParaDecision"/>
              <w:numPr>
                <w:ilvl w:val="0"/>
                <w:numId w:val="0"/>
              </w:numPr>
              <w:spacing w:before="40" w:after="40"/>
              <w:jc w:val="left"/>
              <w:rPr>
                <w:u w:val="none"/>
              </w:rPr>
            </w:pP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7E468FD8" w14:textId="77777777" w:rsidR="00B6254A" w:rsidRPr="00162386" w:rsidRDefault="00B6254A" w:rsidP="00162386">
            <w:pPr>
              <w:pStyle w:val="COMParaDecision"/>
              <w:numPr>
                <w:ilvl w:val="0"/>
                <w:numId w:val="0"/>
              </w:numPr>
              <w:spacing w:before="40" w:after="40"/>
              <w:jc w:val="left"/>
              <w:rPr>
                <w:u w:val="none"/>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4093EF0" w14:textId="435025E9" w:rsidR="00B6254A" w:rsidRPr="00162386" w:rsidRDefault="00B6254A" w:rsidP="00162386">
            <w:pPr>
              <w:pStyle w:val="COMParaDecision"/>
              <w:numPr>
                <w:ilvl w:val="0"/>
                <w:numId w:val="0"/>
              </w:numPr>
              <w:spacing w:before="40" w:after="40"/>
              <w:jc w:val="left"/>
              <w:rPr>
                <w:u w:val="none"/>
              </w:rPr>
            </w:pPr>
            <w:r>
              <w:rPr>
                <w:u w:val="none"/>
              </w:rPr>
              <w:t>3 éléments inscrits</w:t>
            </w:r>
          </w:p>
        </w:tc>
      </w:tr>
      <w:tr w:rsidR="00EB650B" w:rsidRPr="00162386" w14:paraId="7D4BF6B1" w14:textId="77777777" w:rsidTr="006D7FBA">
        <w:tc>
          <w:tcPr>
            <w:tcW w:w="562" w:type="dxa"/>
            <w:shd w:val="clear" w:color="auto" w:fill="FFFFFF" w:themeFill="background1"/>
          </w:tcPr>
          <w:p w14:paraId="48278166" w14:textId="3CA6D428" w:rsidR="00B6254A" w:rsidRPr="006D7FBA" w:rsidRDefault="00823DB0" w:rsidP="00162386">
            <w:pPr>
              <w:pStyle w:val="COMParaDecision"/>
              <w:numPr>
                <w:ilvl w:val="0"/>
                <w:numId w:val="0"/>
              </w:numPr>
              <w:spacing w:before="40" w:after="40"/>
              <w:jc w:val="left"/>
              <w:rPr>
                <w:u w:val="none"/>
              </w:rPr>
            </w:pPr>
            <w:r w:rsidRPr="006D7FBA">
              <w:rPr>
                <w:u w:val="none"/>
              </w:rPr>
              <w:t>61</w:t>
            </w:r>
          </w:p>
        </w:tc>
        <w:tc>
          <w:tcPr>
            <w:tcW w:w="2835" w:type="dxa"/>
            <w:tcBorders>
              <w:bottom w:val="nil"/>
              <w:right w:val="single" w:sz="4" w:space="0" w:color="auto"/>
            </w:tcBorders>
            <w:shd w:val="clear" w:color="auto" w:fill="FFFFFF" w:themeFill="background1"/>
          </w:tcPr>
          <w:p w14:paraId="2E9C0BE2" w14:textId="64AFFE23" w:rsidR="00B6254A" w:rsidRPr="00162386" w:rsidRDefault="00B6254A" w:rsidP="00162386">
            <w:pPr>
              <w:pStyle w:val="COMParaDecision"/>
              <w:numPr>
                <w:ilvl w:val="0"/>
                <w:numId w:val="0"/>
              </w:numPr>
              <w:spacing w:before="40" w:after="40"/>
              <w:jc w:val="left"/>
              <w:rPr>
                <w:u w:val="none"/>
              </w:rPr>
            </w:pPr>
            <w:r>
              <w:rPr>
                <w:u w:val="none"/>
              </w:rPr>
              <w:t>Malawi</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380B12C" w14:textId="77777777" w:rsidR="00B6254A" w:rsidRPr="00162386" w:rsidRDefault="00B6254A" w:rsidP="00162386">
            <w:pPr>
              <w:pStyle w:val="COMParaDecision"/>
              <w:numPr>
                <w:ilvl w:val="0"/>
                <w:numId w:val="0"/>
              </w:numPr>
              <w:spacing w:before="40" w:after="40"/>
              <w:jc w:val="left"/>
              <w:rPr>
                <w:u w:val="none"/>
              </w:rPr>
            </w:pP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6B19B72E" w14:textId="77777777" w:rsidR="00B6254A" w:rsidRPr="00162386" w:rsidRDefault="00B6254A" w:rsidP="00162386">
            <w:pPr>
              <w:pStyle w:val="COMParaDecision"/>
              <w:numPr>
                <w:ilvl w:val="0"/>
                <w:numId w:val="0"/>
              </w:numPr>
              <w:spacing w:before="40" w:after="40"/>
              <w:jc w:val="left"/>
              <w:rPr>
                <w:u w:val="none"/>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4954384" w14:textId="4EB56599" w:rsidR="00B6254A" w:rsidRPr="00162386" w:rsidRDefault="00B6254A" w:rsidP="00162386">
            <w:pPr>
              <w:pStyle w:val="COMParaDecision"/>
              <w:numPr>
                <w:ilvl w:val="0"/>
                <w:numId w:val="0"/>
              </w:numPr>
              <w:spacing w:before="40" w:after="40"/>
              <w:jc w:val="left"/>
              <w:rPr>
                <w:u w:val="none"/>
              </w:rPr>
            </w:pPr>
            <w:r>
              <w:rPr>
                <w:u w:val="none"/>
              </w:rPr>
              <w:t>3 éléments inscrits</w:t>
            </w:r>
          </w:p>
        </w:tc>
      </w:tr>
      <w:tr w:rsidR="00EB650B" w:rsidRPr="00162386" w14:paraId="36F40A0C" w14:textId="77777777" w:rsidTr="006D7FBA">
        <w:tc>
          <w:tcPr>
            <w:tcW w:w="562" w:type="dxa"/>
            <w:shd w:val="clear" w:color="auto" w:fill="FFFFFF" w:themeFill="background1"/>
          </w:tcPr>
          <w:p w14:paraId="28A53578" w14:textId="593B00B5" w:rsidR="00B6254A" w:rsidRPr="006D7FBA" w:rsidRDefault="00823DB0" w:rsidP="00162386">
            <w:pPr>
              <w:pStyle w:val="COMParaDecision"/>
              <w:numPr>
                <w:ilvl w:val="0"/>
                <w:numId w:val="0"/>
              </w:numPr>
              <w:spacing w:before="40" w:after="40"/>
              <w:jc w:val="left"/>
              <w:rPr>
                <w:u w:val="none"/>
              </w:rPr>
            </w:pPr>
            <w:r w:rsidRPr="006D7FBA">
              <w:rPr>
                <w:u w:val="none"/>
              </w:rPr>
              <w:t>62</w:t>
            </w:r>
          </w:p>
        </w:tc>
        <w:tc>
          <w:tcPr>
            <w:tcW w:w="2835" w:type="dxa"/>
            <w:tcBorders>
              <w:bottom w:val="nil"/>
              <w:right w:val="single" w:sz="4" w:space="0" w:color="auto"/>
            </w:tcBorders>
            <w:shd w:val="clear" w:color="auto" w:fill="FFFFFF" w:themeFill="background1"/>
          </w:tcPr>
          <w:p w14:paraId="6500F5E9" w14:textId="23A628BE" w:rsidR="00B6254A" w:rsidRPr="00162386" w:rsidRDefault="00B6254A" w:rsidP="00162386">
            <w:pPr>
              <w:pStyle w:val="COMParaDecision"/>
              <w:numPr>
                <w:ilvl w:val="0"/>
                <w:numId w:val="0"/>
              </w:numPr>
              <w:spacing w:before="40" w:after="40"/>
              <w:jc w:val="left"/>
              <w:rPr>
                <w:u w:val="none"/>
              </w:rPr>
            </w:pPr>
            <w:r>
              <w:rPr>
                <w:u w:val="none"/>
              </w:rPr>
              <w:t>Arabie saoudite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0E6EA1F" w14:textId="77777777" w:rsidR="00B6254A" w:rsidRPr="00162386" w:rsidRDefault="00B6254A" w:rsidP="00162386">
            <w:pPr>
              <w:pStyle w:val="COMParaDecision"/>
              <w:numPr>
                <w:ilvl w:val="0"/>
                <w:numId w:val="0"/>
              </w:numPr>
              <w:spacing w:before="40" w:after="40"/>
              <w:jc w:val="left"/>
              <w:rPr>
                <w:u w:val="none"/>
              </w:rPr>
            </w:pP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65B0987A" w14:textId="77777777" w:rsidR="00B6254A" w:rsidRPr="00162386" w:rsidRDefault="00B6254A" w:rsidP="00162386">
            <w:pPr>
              <w:pStyle w:val="COMParaDecision"/>
              <w:numPr>
                <w:ilvl w:val="0"/>
                <w:numId w:val="0"/>
              </w:numPr>
              <w:spacing w:before="40" w:after="40"/>
              <w:jc w:val="left"/>
              <w:rPr>
                <w:u w:val="none"/>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2D66BD8" w14:textId="3875D1DF" w:rsidR="00B6254A" w:rsidRPr="00162386" w:rsidRDefault="00B6254A" w:rsidP="00162386">
            <w:pPr>
              <w:pStyle w:val="COMParaDecision"/>
              <w:numPr>
                <w:ilvl w:val="0"/>
                <w:numId w:val="0"/>
              </w:numPr>
              <w:spacing w:before="40" w:after="40"/>
              <w:jc w:val="left"/>
              <w:rPr>
                <w:u w:val="none"/>
              </w:rPr>
            </w:pPr>
            <w:r>
              <w:rPr>
                <w:u w:val="none"/>
              </w:rPr>
              <w:t>3 éléments inscrits</w:t>
            </w:r>
          </w:p>
        </w:tc>
      </w:tr>
      <w:tr w:rsidR="00EB650B" w:rsidRPr="00162386" w14:paraId="516A1E58" w14:textId="77777777" w:rsidTr="006D7FBA">
        <w:tc>
          <w:tcPr>
            <w:tcW w:w="562" w:type="dxa"/>
            <w:shd w:val="clear" w:color="auto" w:fill="FFFFFF" w:themeFill="background1"/>
          </w:tcPr>
          <w:p w14:paraId="011246B7" w14:textId="29DBBF48" w:rsidR="00B6254A" w:rsidRPr="006D7FBA" w:rsidRDefault="00823DB0" w:rsidP="00162386">
            <w:pPr>
              <w:pStyle w:val="COMParaDecision"/>
              <w:numPr>
                <w:ilvl w:val="0"/>
                <w:numId w:val="0"/>
              </w:numPr>
              <w:spacing w:before="40" w:after="40"/>
              <w:jc w:val="left"/>
              <w:rPr>
                <w:u w:val="none"/>
              </w:rPr>
            </w:pPr>
            <w:r w:rsidRPr="006D7FBA">
              <w:rPr>
                <w:u w:val="none"/>
              </w:rPr>
              <w:t>63</w:t>
            </w:r>
          </w:p>
        </w:tc>
        <w:tc>
          <w:tcPr>
            <w:tcW w:w="2835" w:type="dxa"/>
            <w:tcBorders>
              <w:bottom w:val="nil"/>
              <w:right w:val="single" w:sz="4" w:space="0" w:color="auto"/>
            </w:tcBorders>
            <w:shd w:val="clear" w:color="auto" w:fill="FFFFFF" w:themeFill="background1"/>
          </w:tcPr>
          <w:p w14:paraId="352F8351" w14:textId="1489A1D2" w:rsidR="00B6254A" w:rsidRPr="00162386" w:rsidRDefault="00B6254A" w:rsidP="00162386">
            <w:pPr>
              <w:pStyle w:val="COMParaDecision"/>
              <w:numPr>
                <w:ilvl w:val="0"/>
                <w:numId w:val="0"/>
              </w:numPr>
              <w:spacing w:before="40" w:after="40"/>
              <w:jc w:val="left"/>
              <w:rPr>
                <w:u w:val="none"/>
              </w:rPr>
            </w:pPr>
            <w:r>
              <w:rPr>
                <w:u w:val="none"/>
              </w:rPr>
              <w:t>Cambodge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ACD940A" w14:textId="77777777" w:rsidR="00B6254A" w:rsidRPr="00162386" w:rsidRDefault="00B6254A" w:rsidP="00162386">
            <w:pPr>
              <w:pStyle w:val="COMParaDecision"/>
              <w:numPr>
                <w:ilvl w:val="0"/>
                <w:numId w:val="0"/>
              </w:numPr>
              <w:spacing w:before="40" w:after="40"/>
              <w:jc w:val="left"/>
              <w:rPr>
                <w:u w:val="none"/>
              </w:rPr>
            </w:pP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3BB53244" w14:textId="77777777" w:rsidR="00B6254A" w:rsidRPr="00162386" w:rsidRDefault="00B6254A" w:rsidP="00162386">
            <w:pPr>
              <w:pStyle w:val="COMParaDecision"/>
              <w:numPr>
                <w:ilvl w:val="0"/>
                <w:numId w:val="0"/>
              </w:numPr>
              <w:spacing w:before="40" w:after="40"/>
              <w:jc w:val="left"/>
              <w:rPr>
                <w:u w:val="none"/>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15628DB" w14:textId="7F11BDD1" w:rsidR="00B6254A" w:rsidRPr="00162386" w:rsidRDefault="00B6254A" w:rsidP="00162386">
            <w:pPr>
              <w:pStyle w:val="COMParaDecision"/>
              <w:numPr>
                <w:ilvl w:val="0"/>
                <w:numId w:val="0"/>
              </w:numPr>
              <w:spacing w:before="40" w:after="40"/>
              <w:jc w:val="left"/>
              <w:rPr>
                <w:u w:val="none"/>
              </w:rPr>
            </w:pPr>
            <w:r>
              <w:rPr>
                <w:u w:val="none"/>
              </w:rPr>
              <w:t>4 éléments inscrits</w:t>
            </w:r>
          </w:p>
        </w:tc>
      </w:tr>
      <w:tr w:rsidR="00EB650B" w:rsidRPr="00162386" w14:paraId="2A1FC128" w14:textId="77777777" w:rsidTr="006D7FBA">
        <w:tc>
          <w:tcPr>
            <w:tcW w:w="562" w:type="dxa"/>
            <w:shd w:val="clear" w:color="auto" w:fill="FFFFFF" w:themeFill="background1"/>
          </w:tcPr>
          <w:p w14:paraId="5205B0BE" w14:textId="1ACBD37C" w:rsidR="00B6254A" w:rsidRPr="006D7FBA" w:rsidRDefault="00823DB0" w:rsidP="00162386">
            <w:pPr>
              <w:pStyle w:val="COMParaDecision"/>
              <w:numPr>
                <w:ilvl w:val="0"/>
                <w:numId w:val="0"/>
              </w:numPr>
              <w:spacing w:before="40" w:after="40"/>
              <w:jc w:val="left"/>
              <w:rPr>
                <w:u w:val="none"/>
              </w:rPr>
            </w:pPr>
            <w:r w:rsidRPr="006D7FBA">
              <w:rPr>
                <w:u w:val="none"/>
              </w:rPr>
              <w:t>64</w:t>
            </w:r>
          </w:p>
        </w:tc>
        <w:tc>
          <w:tcPr>
            <w:tcW w:w="2835" w:type="dxa"/>
            <w:tcBorders>
              <w:bottom w:val="nil"/>
              <w:right w:val="single" w:sz="4" w:space="0" w:color="auto"/>
            </w:tcBorders>
            <w:shd w:val="clear" w:color="auto" w:fill="FFFFFF" w:themeFill="background1"/>
          </w:tcPr>
          <w:p w14:paraId="3F5A5B70" w14:textId="538D49B3" w:rsidR="00B6254A" w:rsidRPr="00162386" w:rsidRDefault="00B6254A" w:rsidP="00162386">
            <w:pPr>
              <w:pStyle w:val="COMParaDecision"/>
              <w:numPr>
                <w:ilvl w:val="0"/>
                <w:numId w:val="0"/>
              </w:numPr>
              <w:spacing w:before="40" w:after="40"/>
              <w:jc w:val="left"/>
              <w:rPr>
                <w:u w:val="none"/>
              </w:rPr>
            </w:pPr>
            <w:r>
              <w:rPr>
                <w:u w:val="none"/>
              </w:rPr>
              <w:t>Slovaquie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872BF8B" w14:textId="77777777" w:rsidR="00B6254A" w:rsidRPr="00162386" w:rsidRDefault="00B6254A" w:rsidP="00162386">
            <w:pPr>
              <w:pStyle w:val="COMParaDecision"/>
              <w:numPr>
                <w:ilvl w:val="0"/>
                <w:numId w:val="0"/>
              </w:numPr>
              <w:spacing w:before="40" w:after="40"/>
              <w:jc w:val="left"/>
              <w:rPr>
                <w:u w:val="none"/>
              </w:rPr>
            </w:pP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352AE188" w14:textId="77777777" w:rsidR="00B6254A" w:rsidRPr="00162386" w:rsidRDefault="00B6254A" w:rsidP="00162386">
            <w:pPr>
              <w:pStyle w:val="COMParaDecision"/>
              <w:numPr>
                <w:ilvl w:val="0"/>
                <w:numId w:val="0"/>
              </w:numPr>
              <w:spacing w:before="40" w:after="40"/>
              <w:jc w:val="left"/>
              <w:rPr>
                <w:u w:val="none"/>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91AF46C" w14:textId="6E5132B0" w:rsidR="00B6254A" w:rsidRPr="00162386" w:rsidRDefault="00B6254A" w:rsidP="00162386">
            <w:pPr>
              <w:pStyle w:val="COMParaDecision"/>
              <w:numPr>
                <w:ilvl w:val="0"/>
                <w:numId w:val="0"/>
              </w:numPr>
              <w:spacing w:before="40" w:after="40"/>
              <w:jc w:val="left"/>
              <w:rPr>
                <w:u w:val="none"/>
              </w:rPr>
            </w:pPr>
            <w:r>
              <w:rPr>
                <w:u w:val="none"/>
              </w:rPr>
              <w:t>4 éléments inscrits</w:t>
            </w:r>
          </w:p>
        </w:tc>
      </w:tr>
      <w:tr w:rsidR="00EB650B" w:rsidRPr="00162386" w14:paraId="3611E7E4" w14:textId="77777777" w:rsidTr="006D7FBA">
        <w:tc>
          <w:tcPr>
            <w:tcW w:w="562" w:type="dxa"/>
            <w:shd w:val="clear" w:color="auto" w:fill="FFFFFF" w:themeFill="background1"/>
          </w:tcPr>
          <w:p w14:paraId="16F37E47" w14:textId="1B2D5D0D" w:rsidR="00B6254A" w:rsidRPr="006D7FBA" w:rsidRDefault="00823DB0" w:rsidP="00162386">
            <w:pPr>
              <w:pStyle w:val="COMParaDecision"/>
              <w:numPr>
                <w:ilvl w:val="0"/>
                <w:numId w:val="0"/>
              </w:numPr>
              <w:spacing w:before="40" w:after="40"/>
              <w:jc w:val="left"/>
              <w:rPr>
                <w:u w:val="none"/>
              </w:rPr>
            </w:pPr>
            <w:r w:rsidRPr="006D7FBA">
              <w:rPr>
                <w:u w:val="none"/>
              </w:rPr>
              <w:t>65</w:t>
            </w:r>
          </w:p>
        </w:tc>
        <w:tc>
          <w:tcPr>
            <w:tcW w:w="2835" w:type="dxa"/>
            <w:tcBorders>
              <w:bottom w:val="nil"/>
              <w:right w:val="single" w:sz="4" w:space="0" w:color="auto"/>
            </w:tcBorders>
            <w:shd w:val="clear" w:color="auto" w:fill="FFFFFF" w:themeFill="background1"/>
          </w:tcPr>
          <w:p w14:paraId="16403121" w14:textId="366DC1DF" w:rsidR="00B6254A" w:rsidRPr="00162386" w:rsidRDefault="00B6254A" w:rsidP="00162386">
            <w:pPr>
              <w:pStyle w:val="COMParaDecision"/>
              <w:numPr>
                <w:ilvl w:val="0"/>
                <w:numId w:val="0"/>
              </w:numPr>
              <w:spacing w:before="40" w:after="40"/>
              <w:jc w:val="left"/>
              <w:rPr>
                <w:u w:val="none"/>
              </w:rPr>
            </w:pPr>
            <w:r>
              <w:rPr>
                <w:u w:val="none"/>
              </w:rPr>
              <w:t>Algérie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7A96F78" w14:textId="77777777" w:rsidR="00B6254A" w:rsidRPr="00162386" w:rsidRDefault="00B6254A" w:rsidP="00162386">
            <w:pPr>
              <w:pStyle w:val="COMParaDecision"/>
              <w:numPr>
                <w:ilvl w:val="0"/>
                <w:numId w:val="0"/>
              </w:numPr>
              <w:spacing w:before="40" w:after="40"/>
              <w:jc w:val="left"/>
              <w:rPr>
                <w:u w:val="none"/>
              </w:rPr>
            </w:pP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7A261612" w14:textId="77777777" w:rsidR="00B6254A" w:rsidRPr="00162386" w:rsidRDefault="00B6254A" w:rsidP="00162386">
            <w:pPr>
              <w:pStyle w:val="COMParaDecision"/>
              <w:numPr>
                <w:ilvl w:val="0"/>
                <w:numId w:val="0"/>
              </w:numPr>
              <w:spacing w:before="40" w:after="40"/>
              <w:jc w:val="left"/>
              <w:rPr>
                <w:u w:val="none"/>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229BBAF" w14:textId="2BB348AD" w:rsidR="00B6254A" w:rsidRPr="00162386" w:rsidRDefault="00B6254A" w:rsidP="00162386">
            <w:pPr>
              <w:pStyle w:val="COMParaDecision"/>
              <w:numPr>
                <w:ilvl w:val="0"/>
                <w:numId w:val="0"/>
              </w:numPr>
              <w:spacing w:before="40" w:after="40"/>
              <w:jc w:val="left"/>
              <w:rPr>
                <w:u w:val="none"/>
              </w:rPr>
            </w:pPr>
            <w:r>
              <w:rPr>
                <w:u w:val="none"/>
              </w:rPr>
              <w:t>5 éléments inscrits</w:t>
            </w:r>
          </w:p>
        </w:tc>
      </w:tr>
      <w:tr w:rsidR="00EB650B" w:rsidRPr="00162386" w14:paraId="57D8E307" w14:textId="77777777" w:rsidTr="006D7FBA">
        <w:tc>
          <w:tcPr>
            <w:tcW w:w="562" w:type="dxa"/>
            <w:shd w:val="clear" w:color="auto" w:fill="FFFFFF" w:themeFill="background1"/>
          </w:tcPr>
          <w:p w14:paraId="0468F939" w14:textId="2FCFB0BD" w:rsidR="00B6254A" w:rsidRPr="006D7FBA" w:rsidRDefault="00823DB0" w:rsidP="00162386">
            <w:pPr>
              <w:pStyle w:val="COMParaDecision"/>
              <w:numPr>
                <w:ilvl w:val="0"/>
                <w:numId w:val="0"/>
              </w:numPr>
              <w:spacing w:before="40" w:after="40"/>
              <w:jc w:val="left"/>
              <w:rPr>
                <w:u w:val="none"/>
              </w:rPr>
            </w:pPr>
            <w:r w:rsidRPr="006D7FBA">
              <w:rPr>
                <w:u w:val="none"/>
              </w:rPr>
              <w:t>66</w:t>
            </w:r>
          </w:p>
        </w:tc>
        <w:tc>
          <w:tcPr>
            <w:tcW w:w="2835" w:type="dxa"/>
            <w:tcBorders>
              <w:bottom w:val="nil"/>
              <w:right w:val="single" w:sz="4" w:space="0" w:color="auto"/>
            </w:tcBorders>
            <w:shd w:val="clear" w:color="auto" w:fill="FFFFFF" w:themeFill="background1"/>
          </w:tcPr>
          <w:p w14:paraId="4A2DBB80" w14:textId="2AB63866" w:rsidR="00B6254A" w:rsidRPr="00162386" w:rsidRDefault="00B6254A" w:rsidP="00162386">
            <w:pPr>
              <w:pStyle w:val="COMParaDecision"/>
              <w:numPr>
                <w:ilvl w:val="0"/>
                <w:numId w:val="0"/>
              </w:numPr>
              <w:spacing w:before="40" w:after="40"/>
              <w:jc w:val="left"/>
              <w:rPr>
                <w:u w:val="none"/>
              </w:rPr>
            </w:pPr>
            <w:r>
              <w:rPr>
                <w:u w:val="none"/>
              </w:rPr>
              <w:t>Azerbaïdjan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77EF564" w14:textId="77777777" w:rsidR="00B6254A" w:rsidRPr="00162386" w:rsidRDefault="00B6254A" w:rsidP="00162386">
            <w:pPr>
              <w:pStyle w:val="COMParaDecision"/>
              <w:numPr>
                <w:ilvl w:val="0"/>
                <w:numId w:val="0"/>
              </w:numPr>
              <w:spacing w:before="40" w:after="40"/>
              <w:jc w:val="left"/>
              <w:rPr>
                <w:u w:val="none"/>
              </w:rPr>
            </w:pP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3C98D9A4" w14:textId="77777777" w:rsidR="00B6254A" w:rsidRPr="00162386" w:rsidRDefault="00B6254A" w:rsidP="00162386">
            <w:pPr>
              <w:pStyle w:val="COMParaDecision"/>
              <w:numPr>
                <w:ilvl w:val="0"/>
                <w:numId w:val="0"/>
              </w:numPr>
              <w:spacing w:before="40" w:after="40"/>
              <w:jc w:val="left"/>
              <w:rPr>
                <w:u w:val="none"/>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EE23A06" w14:textId="2B9E6C82" w:rsidR="00B6254A" w:rsidRPr="00162386" w:rsidRDefault="00B6254A" w:rsidP="00162386">
            <w:pPr>
              <w:pStyle w:val="COMParaDecision"/>
              <w:numPr>
                <w:ilvl w:val="0"/>
                <w:numId w:val="0"/>
              </w:numPr>
              <w:spacing w:before="40" w:after="40"/>
              <w:jc w:val="left"/>
              <w:rPr>
                <w:u w:val="none"/>
              </w:rPr>
            </w:pPr>
            <w:r>
              <w:rPr>
                <w:u w:val="none"/>
              </w:rPr>
              <w:t>8 éléments inscrits</w:t>
            </w:r>
          </w:p>
        </w:tc>
      </w:tr>
      <w:tr w:rsidR="00EB650B" w:rsidRPr="00162386" w14:paraId="34F91975" w14:textId="77777777" w:rsidTr="006D7FBA">
        <w:tc>
          <w:tcPr>
            <w:tcW w:w="562" w:type="dxa"/>
            <w:shd w:val="clear" w:color="auto" w:fill="FFFFFF" w:themeFill="background1"/>
          </w:tcPr>
          <w:p w14:paraId="33BB0B7D" w14:textId="57586C56" w:rsidR="00B6254A" w:rsidRPr="006D7FBA" w:rsidRDefault="00823DB0" w:rsidP="00162386">
            <w:pPr>
              <w:pStyle w:val="COMParaDecision"/>
              <w:numPr>
                <w:ilvl w:val="0"/>
                <w:numId w:val="0"/>
              </w:numPr>
              <w:spacing w:before="40" w:after="40"/>
              <w:jc w:val="left"/>
              <w:rPr>
                <w:u w:val="none"/>
              </w:rPr>
            </w:pPr>
            <w:r w:rsidRPr="006D7FBA">
              <w:rPr>
                <w:u w:val="none"/>
              </w:rPr>
              <w:t>67</w:t>
            </w:r>
          </w:p>
        </w:tc>
        <w:tc>
          <w:tcPr>
            <w:tcW w:w="2835" w:type="dxa"/>
            <w:tcBorders>
              <w:bottom w:val="nil"/>
              <w:right w:val="single" w:sz="4" w:space="0" w:color="auto"/>
            </w:tcBorders>
            <w:shd w:val="clear" w:color="auto" w:fill="FFFFFF" w:themeFill="background1"/>
          </w:tcPr>
          <w:p w14:paraId="29B47681" w14:textId="0FADFFFA" w:rsidR="00B6254A" w:rsidRPr="00162386" w:rsidRDefault="00B6254A" w:rsidP="00162386">
            <w:pPr>
              <w:pStyle w:val="COMParaDecision"/>
              <w:numPr>
                <w:ilvl w:val="0"/>
                <w:numId w:val="0"/>
              </w:numPr>
              <w:spacing w:before="40" w:after="40"/>
              <w:jc w:val="left"/>
              <w:rPr>
                <w:u w:val="none"/>
              </w:rPr>
            </w:pPr>
            <w:r>
              <w:rPr>
                <w:u w:val="none"/>
              </w:rPr>
              <w:t>Mexique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B330045" w14:textId="77777777" w:rsidR="00B6254A" w:rsidRPr="00162386" w:rsidRDefault="00B6254A" w:rsidP="00162386">
            <w:pPr>
              <w:pStyle w:val="COMParaDecision"/>
              <w:numPr>
                <w:ilvl w:val="0"/>
                <w:numId w:val="0"/>
              </w:numPr>
              <w:spacing w:before="40" w:after="40"/>
              <w:jc w:val="left"/>
              <w:rPr>
                <w:u w:val="none"/>
              </w:rPr>
            </w:pP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3E9DFC88" w14:textId="77777777" w:rsidR="00B6254A" w:rsidRPr="00162386" w:rsidRDefault="00B6254A" w:rsidP="00162386">
            <w:pPr>
              <w:pStyle w:val="COMParaDecision"/>
              <w:numPr>
                <w:ilvl w:val="0"/>
                <w:numId w:val="0"/>
              </w:numPr>
              <w:spacing w:before="40" w:after="40"/>
              <w:jc w:val="left"/>
              <w:rPr>
                <w:u w:val="none"/>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DEDC05A" w14:textId="2141D11F" w:rsidR="00B6254A" w:rsidRPr="00162386" w:rsidRDefault="00B6254A" w:rsidP="00162386">
            <w:pPr>
              <w:pStyle w:val="COMParaDecision"/>
              <w:numPr>
                <w:ilvl w:val="0"/>
                <w:numId w:val="0"/>
              </w:numPr>
              <w:spacing w:before="40" w:after="40"/>
              <w:jc w:val="left"/>
              <w:rPr>
                <w:u w:val="none"/>
              </w:rPr>
            </w:pPr>
            <w:r>
              <w:rPr>
                <w:u w:val="none"/>
              </w:rPr>
              <w:t>9 éléments inscrits</w:t>
            </w:r>
          </w:p>
        </w:tc>
      </w:tr>
      <w:tr w:rsidR="00EB650B" w:rsidRPr="00162386" w14:paraId="422662E9" w14:textId="77777777" w:rsidTr="006D7FBA">
        <w:tc>
          <w:tcPr>
            <w:tcW w:w="562" w:type="dxa"/>
            <w:shd w:val="clear" w:color="auto" w:fill="FFFFFF" w:themeFill="background1"/>
          </w:tcPr>
          <w:p w14:paraId="78F491BE" w14:textId="4EE52EEE" w:rsidR="00B6254A" w:rsidRPr="006D7FBA" w:rsidRDefault="00823DB0" w:rsidP="00162386">
            <w:pPr>
              <w:pStyle w:val="COMParaDecision"/>
              <w:numPr>
                <w:ilvl w:val="0"/>
                <w:numId w:val="0"/>
              </w:numPr>
              <w:spacing w:before="40" w:after="40"/>
              <w:jc w:val="left"/>
              <w:rPr>
                <w:u w:val="none"/>
              </w:rPr>
            </w:pPr>
            <w:r w:rsidRPr="006D7FBA">
              <w:rPr>
                <w:u w:val="none"/>
              </w:rPr>
              <w:t>68</w:t>
            </w:r>
          </w:p>
        </w:tc>
        <w:tc>
          <w:tcPr>
            <w:tcW w:w="2835" w:type="dxa"/>
            <w:tcBorders>
              <w:bottom w:val="nil"/>
              <w:right w:val="single" w:sz="4" w:space="0" w:color="auto"/>
            </w:tcBorders>
            <w:shd w:val="clear" w:color="auto" w:fill="FFFFFF" w:themeFill="background1"/>
          </w:tcPr>
          <w:p w14:paraId="59880D6C" w14:textId="2919E786" w:rsidR="00B6254A" w:rsidRPr="00162386" w:rsidRDefault="00B6254A" w:rsidP="00162386">
            <w:pPr>
              <w:pStyle w:val="COMParaDecision"/>
              <w:numPr>
                <w:ilvl w:val="0"/>
                <w:numId w:val="0"/>
              </w:numPr>
              <w:spacing w:before="40" w:after="40"/>
              <w:jc w:val="left"/>
              <w:rPr>
                <w:u w:val="none"/>
              </w:rPr>
            </w:pPr>
            <w:r>
              <w:rPr>
                <w:u w:val="none"/>
              </w:rPr>
              <w:t>France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377DB8C" w14:textId="77777777" w:rsidR="00B6254A" w:rsidRPr="00162386" w:rsidRDefault="00B6254A" w:rsidP="00162386">
            <w:pPr>
              <w:pStyle w:val="COMParaDecision"/>
              <w:numPr>
                <w:ilvl w:val="0"/>
                <w:numId w:val="0"/>
              </w:numPr>
              <w:spacing w:before="40" w:after="40"/>
              <w:jc w:val="left"/>
              <w:rPr>
                <w:u w:val="none"/>
              </w:rPr>
            </w:pP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382E789B" w14:textId="77777777" w:rsidR="00B6254A" w:rsidRPr="00162386" w:rsidRDefault="00B6254A" w:rsidP="00162386">
            <w:pPr>
              <w:pStyle w:val="COMParaDecision"/>
              <w:numPr>
                <w:ilvl w:val="0"/>
                <w:numId w:val="0"/>
              </w:numPr>
              <w:spacing w:before="40" w:after="40"/>
              <w:jc w:val="left"/>
              <w:rPr>
                <w:u w:val="none"/>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9D5979D" w14:textId="61D3B926" w:rsidR="00B6254A" w:rsidRPr="00162386" w:rsidRDefault="00B6254A" w:rsidP="00162386">
            <w:pPr>
              <w:pStyle w:val="COMParaDecision"/>
              <w:numPr>
                <w:ilvl w:val="0"/>
                <w:numId w:val="0"/>
              </w:numPr>
              <w:spacing w:before="40" w:after="40"/>
              <w:jc w:val="left"/>
              <w:rPr>
                <w:u w:val="none"/>
              </w:rPr>
            </w:pPr>
            <w:r>
              <w:rPr>
                <w:u w:val="none"/>
              </w:rPr>
              <w:t>12 éléments inscrits</w:t>
            </w:r>
          </w:p>
        </w:tc>
      </w:tr>
      <w:tr w:rsidR="00EB650B" w:rsidRPr="00162386" w14:paraId="22B95E0B" w14:textId="77777777" w:rsidTr="006D7FBA">
        <w:tc>
          <w:tcPr>
            <w:tcW w:w="562" w:type="dxa"/>
            <w:shd w:val="clear" w:color="auto" w:fill="FFFFFF" w:themeFill="background1"/>
          </w:tcPr>
          <w:p w14:paraId="18AD393C" w14:textId="7246BA0B" w:rsidR="00823DB0" w:rsidRPr="006D7FBA" w:rsidRDefault="00823DB0" w:rsidP="00162386">
            <w:pPr>
              <w:pStyle w:val="COMParaDecision"/>
              <w:numPr>
                <w:ilvl w:val="0"/>
                <w:numId w:val="0"/>
              </w:numPr>
              <w:spacing w:before="40" w:after="40"/>
              <w:jc w:val="left"/>
              <w:rPr>
                <w:u w:val="none"/>
              </w:rPr>
            </w:pPr>
            <w:r w:rsidRPr="006D7FBA">
              <w:rPr>
                <w:u w:val="none"/>
              </w:rPr>
              <w:t>69</w:t>
            </w:r>
          </w:p>
        </w:tc>
        <w:tc>
          <w:tcPr>
            <w:tcW w:w="2835" w:type="dxa"/>
            <w:tcBorders>
              <w:bottom w:val="nil"/>
              <w:right w:val="single" w:sz="4" w:space="0" w:color="auto"/>
            </w:tcBorders>
            <w:shd w:val="clear" w:color="auto" w:fill="FFFFFF" w:themeFill="background1"/>
          </w:tcPr>
          <w:p w14:paraId="487971E3" w14:textId="5970C2A3" w:rsidR="00823DB0" w:rsidRPr="00162386" w:rsidRDefault="00823DB0" w:rsidP="00162386">
            <w:pPr>
              <w:pStyle w:val="COMParaDecision"/>
              <w:numPr>
                <w:ilvl w:val="0"/>
                <w:numId w:val="0"/>
              </w:numPr>
              <w:spacing w:before="40" w:after="40"/>
              <w:jc w:val="left"/>
              <w:rPr>
                <w:u w:val="none"/>
              </w:rPr>
            </w:pPr>
            <w:r>
              <w:rPr>
                <w:u w:val="none"/>
              </w:rPr>
              <w:t>Espagne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612E90E" w14:textId="77777777" w:rsidR="00823DB0" w:rsidRPr="00162386" w:rsidRDefault="00823DB0" w:rsidP="00162386">
            <w:pPr>
              <w:pStyle w:val="COMParaDecision"/>
              <w:numPr>
                <w:ilvl w:val="0"/>
                <w:numId w:val="0"/>
              </w:numPr>
              <w:spacing w:before="40" w:after="40"/>
              <w:jc w:val="left"/>
              <w:rPr>
                <w:u w:val="none"/>
              </w:rPr>
            </w:pP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4E83A4E3" w14:textId="77777777" w:rsidR="00823DB0" w:rsidRPr="00162386" w:rsidRDefault="00823DB0" w:rsidP="00162386">
            <w:pPr>
              <w:pStyle w:val="COMParaDecision"/>
              <w:numPr>
                <w:ilvl w:val="0"/>
                <w:numId w:val="0"/>
              </w:numPr>
              <w:spacing w:before="40" w:after="40"/>
              <w:jc w:val="left"/>
              <w:rPr>
                <w:u w:val="none"/>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B597A66" w14:textId="55E7CE17" w:rsidR="00823DB0" w:rsidRPr="00162386" w:rsidRDefault="00823DB0" w:rsidP="00162386">
            <w:pPr>
              <w:pStyle w:val="COMParaDecision"/>
              <w:numPr>
                <w:ilvl w:val="0"/>
                <w:numId w:val="0"/>
              </w:numPr>
              <w:spacing w:before="40" w:after="40"/>
              <w:jc w:val="left"/>
              <w:rPr>
                <w:u w:val="none"/>
              </w:rPr>
            </w:pPr>
            <w:r>
              <w:rPr>
                <w:u w:val="none"/>
              </w:rPr>
              <w:t>13 éléments inscrits</w:t>
            </w:r>
          </w:p>
        </w:tc>
      </w:tr>
      <w:tr w:rsidR="00EB650B" w:rsidRPr="00162386" w14:paraId="65A3E38F" w14:textId="77777777" w:rsidTr="006D7FBA">
        <w:tc>
          <w:tcPr>
            <w:tcW w:w="562" w:type="dxa"/>
            <w:shd w:val="clear" w:color="auto" w:fill="FFFFFF" w:themeFill="background1"/>
          </w:tcPr>
          <w:p w14:paraId="284F0FEB" w14:textId="1C2C0705" w:rsidR="00823DB0" w:rsidRPr="006D7FBA" w:rsidRDefault="00823DB0" w:rsidP="00162386">
            <w:pPr>
              <w:pStyle w:val="COMParaDecision"/>
              <w:numPr>
                <w:ilvl w:val="0"/>
                <w:numId w:val="0"/>
              </w:numPr>
              <w:spacing w:before="40" w:after="40"/>
              <w:jc w:val="left"/>
              <w:rPr>
                <w:u w:val="none"/>
              </w:rPr>
            </w:pPr>
            <w:r w:rsidRPr="006D7FBA">
              <w:rPr>
                <w:u w:val="none"/>
              </w:rPr>
              <w:t>70</w:t>
            </w:r>
          </w:p>
        </w:tc>
        <w:tc>
          <w:tcPr>
            <w:tcW w:w="2835" w:type="dxa"/>
            <w:tcBorders>
              <w:bottom w:val="nil"/>
              <w:right w:val="single" w:sz="4" w:space="0" w:color="auto"/>
            </w:tcBorders>
            <w:shd w:val="clear" w:color="auto" w:fill="FFFFFF" w:themeFill="background1"/>
          </w:tcPr>
          <w:p w14:paraId="7C226E41" w14:textId="233D4CEB" w:rsidR="00823DB0" w:rsidRPr="00162386" w:rsidRDefault="00823DB0" w:rsidP="00162386">
            <w:pPr>
              <w:pStyle w:val="COMParaDecision"/>
              <w:numPr>
                <w:ilvl w:val="0"/>
                <w:numId w:val="0"/>
              </w:numPr>
              <w:spacing w:before="40" w:after="40"/>
              <w:jc w:val="left"/>
              <w:rPr>
                <w:u w:val="none"/>
              </w:rPr>
            </w:pPr>
            <w:r>
              <w:rPr>
                <w:u w:val="none"/>
              </w:rPr>
              <w:t>Croatie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FECA32E" w14:textId="77777777" w:rsidR="00823DB0" w:rsidRPr="00162386" w:rsidRDefault="00823DB0" w:rsidP="00162386">
            <w:pPr>
              <w:pStyle w:val="COMParaDecision"/>
              <w:numPr>
                <w:ilvl w:val="0"/>
                <w:numId w:val="0"/>
              </w:numPr>
              <w:spacing w:before="40" w:after="40"/>
              <w:jc w:val="left"/>
              <w:rPr>
                <w:u w:val="none"/>
              </w:rPr>
            </w:pP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443D0762" w14:textId="77777777" w:rsidR="00823DB0" w:rsidRPr="00162386" w:rsidRDefault="00823DB0" w:rsidP="00162386">
            <w:pPr>
              <w:pStyle w:val="COMParaDecision"/>
              <w:numPr>
                <w:ilvl w:val="0"/>
                <w:numId w:val="0"/>
              </w:numPr>
              <w:spacing w:before="40" w:after="40"/>
              <w:jc w:val="left"/>
              <w:rPr>
                <w:u w:val="none"/>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451151D" w14:textId="01BCA7AB" w:rsidR="00823DB0" w:rsidRPr="00162386" w:rsidRDefault="00823DB0" w:rsidP="00162386">
            <w:pPr>
              <w:pStyle w:val="COMParaDecision"/>
              <w:numPr>
                <w:ilvl w:val="0"/>
                <w:numId w:val="0"/>
              </w:numPr>
              <w:spacing w:before="40" w:after="40"/>
              <w:jc w:val="left"/>
              <w:rPr>
                <w:u w:val="none"/>
              </w:rPr>
            </w:pPr>
            <w:r>
              <w:rPr>
                <w:u w:val="none"/>
              </w:rPr>
              <w:t>14 éléments inscrits</w:t>
            </w:r>
          </w:p>
        </w:tc>
      </w:tr>
      <w:tr w:rsidR="00EB650B" w:rsidRPr="00162386" w14:paraId="2FBD75D9" w14:textId="77777777" w:rsidTr="006D7FBA">
        <w:tc>
          <w:tcPr>
            <w:tcW w:w="562" w:type="dxa"/>
            <w:shd w:val="clear" w:color="auto" w:fill="FFFFFF" w:themeFill="background1"/>
          </w:tcPr>
          <w:p w14:paraId="1A31E465" w14:textId="66A1B99E" w:rsidR="00823DB0" w:rsidRPr="006D7FBA" w:rsidRDefault="00823DB0" w:rsidP="00162386">
            <w:pPr>
              <w:pStyle w:val="COMParaDecision"/>
              <w:numPr>
                <w:ilvl w:val="0"/>
                <w:numId w:val="0"/>
              </w:numPr>
              <w:spacing w:before="40" w:after="40"/>
              <w:jc w:val="left"/>
              <w:rPr>
                <w:u w:val="none"/>
              </w:rPr>
            </w:pPr>
            <w:r w:rsidRPr="006D7FBA">
              <w:rPr>
                <w:u w:val="none"/>
              </w:rPr>
              <w:t>71</w:t>
            </w:r>
          </w:p>
        </w:tc>
        <w:tc>
          <w:tcPr>
            <w:tcW w:w="2835" w:type="dxa"/>
            <w:tcBorders>
              <w:bottom w:val="nil"/>
              <w:right w:val="single" w:sz="4" w:space="0" w:color="auto"/>
            </w:tcBorders>
            <w:shd w:val="clear" w:color="auto" w:fill="FFFFFF" w:themeFill="background1"/>
          </w:tcPr>
          <w:p w14:paraId="0713C42C" w14:textId="4A1F1A89" w:rsidR="00823DB0" w:rsidRPr="00162386" w:rsidRDefault="00823DB0" w:rsidP="00162386">
            <w:pPr>
              <w:pStyle w:val="COMParaDecision"/>
              <w:numPr>
                <w:ilvl w:val="0"/>
                <w:numId w:val="0"/>
              </w:numPr>
              <w:spacing w:before="40" w:after="40"/>
              <w:jc w:val="left"/>
              <w:rPr>
                <w:u w:val="none"/>
              </w:rPr>
            </w:pPr>
            <w:r>
              <w:rPr>
                <w:u w:val="none"/>
              </w:rPr>
              <w:t>République de Corée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C59786B" w14:textId="77777777" w:rsidR="00823DB0" w:rsidRPr="00162386" w:rsidRDefault="00823DB0" w:rsidP="00162386">
            <w:pPr>
              <w:pStyle w:val="COMParaDecision"/>
              <w:numPr>
                <w:ilvl w:val="0"/>
                <w:numId w:val="0"/>
              </w:numPr>
              <w:spacing w:before="40" w:after="40"/>
              <w:jc w:val="left"/>
              <w:rPr>
                <w:u w:val="none"/>
              </w:rPr>
            </w:pP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2F6D6FB2" w14:textId="77777777" w:rsidR="00823DB0" w:rsidRPr="00162386" w:rsidRDefault="00823DB0" w:rsidP="00162386">
            <w:pPr>
              <w:pStyle w:val="COMParaDecision"/>
              <w:numPr>
                <w:ilvl w:val="0"/>
                <w:numId w:val="0"/>
              </w:numPr>
              <w:spacing w:before="40" w:after="40"/>
              <w:jc w:val="left"/>
              <w:rPr>
                <w:u w:val="none"/>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462DCCE" w14:textId="2649DA34" w:rsidR="00823DB0" w:rsidRPr="00162386" w:rsidRDefault="00823DB0" w:rsidP="00162386">
            <w:pPr>
              <w:pStyle w:val="COMParaDecision"/>
              <w:numPr>
                <w:ilvl w:val="0"/>
                <w:numId w:val="0"/>
              </w:numPr>
              <w:spacing w:before="40" w:after="40"/>
              <w:jc w:val="left"/>
              <w:rPr>
                <w:u w:val="none"/>
              </w:rPr>
            </w:pPr>
            <w:r>
              <w:rPr>
                <w:u w:val="none"/>
              </w:rPr>
              <w:t>17 éléments inscrits</w:t>
            </w:r>
          </w:p>
        </w:tc>
      </w:tr>
      <w:tr w:rsidR="00EB650B" w:rsidRPr="00162386" w14:paraId="500226C6" w14:textId="77777777" w:rsidTr="006D7FBA">
        <w:tc>
          <w:tcPr>
            <w:tcW w:w="562" w:type="dxa"/>
            <w:shd w:val="clear" w:color="auto" w:fill="FFFFFF" w:themeFill="background1"/>
          </w:tcPr>
          <w:p w14:paraId="7C7A54AB" w14:textId="68356507" w:rsidR="00823DB0" w:rsidRPr="006D7FBA" w:rsidRDefault="00823DB0" w:rsidP="00162386">
            <w:pPr>
              <w:pStyle w:val="COMParaDecision"/>
              <w:numPr>
                <w:ilvl w:val="0"/>
                <w:numId w:val="0"/>
              </w:numPr>
              <w:spacing w:before="40" w:after="40"/>
              <w:jc w:val="left"/>
              <w:rPr>
                <w:u w:val="none"/>
              </w:rPr>
            </w:pPr>
            <w:r w:rsidRPr="006D7FBA">
              <w:rPr>
                <w:u w:val="none"/>
              </w:rPr>
              <w:t>72</w:t>
            </w:r>
          </w:p>
        </w:tc>
        <w:tc>
          <w:tcPr>
            <w:tcW w:w="2835" w:type="dxa"/>
            <w:tcBorders>
              <w:bottom w:val="single" w:sz="4" w:space="0" w:color="auto"/>
              <w:right w:val="single" w:sz="4" w:space="0" w:color="auto"/>
            </w:tcBorders>
            <w:shd w:val="clear" w:color="auto" w:fill="FFFFFF" w:themeFill="background1"/>
          </w:tcPr>
          <w:p w14:paraId="7C0F2F8F" w14:textId="0936AA1A" w:rsidR="00823DB0" w:rsidRPr="00162386" w:rsidRDefault="00823DB0" w:rsidP="00162386">
            <w:pPr>
              <w:pStyle w:val="COMParaDecision"/>
              <w:numPr>
                <w:ilvl w:val="0"/>
                <w:numId w:val="0"/>
              </w:numPr>
              <w:spacing w:before="40" w:after="40"/>
              <w:jc w:val="left"/>
              <w:rPr>
                <w:u w:val="none"/>
              </w:rPr>
            </w:pPr>
            <w:r>
              <w:rPr>
                <w:u w:val="none"/>
              </w:rPr>
              <w:t>Japon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DA0827F" w14:textId="77777777" w:rsidR="00823DB0" w:rsidRPr="00162386" w:rsidRDefault="00823DB0" w:rsidP="00162386">
            <w:pPr>
              <w:pStyle w:val="COMParaDecision"/>
              <w:numPr>
                <w:ilvl w:val="0"/>
                <w:numId w:val="0"/>
              </w:numPr>
              <w:spacing w:before="40" w:after="40"/>
              <w:jc w:val="left"/>
              <w:rPr>
                <w:u w:val="none"/>
              </w:rPr>
            </w:pP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41BB4496" w14:textId="77777777" w:rsidR="00823DB0" w:rsidRPr="00162386" w:rsidRDefault="00823DB0" w:rsidP="00162386">
            <w:pPr>
              <w:pStyle w:val="COMParaDecision"/>
              <w:numPr>
                <w:ilvl w:val="0"/>
                <w:numId w:val="0"/>
              </w:numPr>
              <w:spacing w:before="40" w:after="40"/>
              <w:jc w:val="left"/>
              <w:rPr>
                <w:u w:val="none"/>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8431179" w14:textId="11285874" w:rsidR="00823DB0" w:rsidRPr="00162386" w:rsidRDefault="00823DB0" w:rsidP="00162386">
            <w:pPr>
              <w:pStyle w:val="COMParaDecision"/>
              <w:numPr>
                <w:ilvl w:val="0"/>
                <w:numId w:val="0"/>
              </w:numPr>
              <w:spacing w:before="40" w:after="40"/>
              <w:jc w:val="left"/>
              <w:rPr>
                <w:u w:val="none"/>
              </w:rPr>
            </w:pPr>
            <w:r>
              <w:rPr>
                <w:u w:val="none"/>
              </w:rPr>
              <w:t>21 éléments inscrits</w:t>
            </w:r>
          </w:p>
        </w:tc>
      </w:tr>
      <w:tr w:rsidR="00EB650B" w:rsidRPr="00162386" w14:paraId="7EFD2717" w14:textId="77777777" w:rsidTr="006D7FBA">
        <w:tc>
          <w:tcPr>
            <w:tcW w:w="562" w:type="dxa"/>
            <w:tcBorders>
              <w:right w:val="single" w:sz="4" w:space="0" w:color="auto"/>
            </w:tcBorders>
            <w:shd w:val="clear" w:color="auto" w:fill="FFFFFF" w:themeFill="background1"/>
          </w:tcPr>
          <w:p w14:paraId="04089153" w14:textId="531B578D" w:rsidR="00823DB0" w:rsidRPr="006D7FBA" w:rsidRDefault="00823DB0" w:rsidP="00162386">
            <w:pPr>
              <w:pStyle w:val="COMParaDecision"/>
              <w:numPr>
                <w:ilvl w:val="0"/>
                <w:numId w:val="0"/>
              </w:numPr>
              <w:spacing w:before="40" w:after="40"/>
              <w:jc w:val="left"/>
              <w:rPr>
                <w:u w:val="none"/>
              </w:rPr>
            </w:pPr>
            <w:r w:rsidRPr="006D7FBA">
              <w:rPr>
                <w:u w:val="none"/>
              </w:rPr>
              <w:t>73</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7BBBCEC" w14:textId="422EE667" w:rsidR="00823DB0" w:rsidRPr="00162386" w:rsidRDefault="00823DB0" w:rsidP="00162386">
            <w:pPr>
              <w:pStyle w:val="COMParaDecision"/>
              <w:numPr>
                <w:ilvl w:val="0"/>
                <w:numId w:val="0"/>
              </w:numPr>
              <w:spacing w:before="40" w:after="40"/>
              <w:jc w:val="left"/>
              <w:rPr>
                <w:u w:val="none"/>
              </w:rPr>
            </w:pPr>
            <w:r>
              <w:rPr>
                <w:u w:val="none"/>
              </w:rPr>
              <w:t>Chine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84B842C" w14:textId="77777777" w:rsidR="00823DB0" w:rsidRPr="00162386" w:rsidRDefault="00823DB0" w:rsidP="00162386">
            <w:pPr>
              <w:pStyle w:val="COMParaDecision"/>
              <w:numPr>
                <w:ilvl w:val="0"/>
                <w:numId w:val="0"/>
              </w:numPr>
              <w:spacing w:before="40" w:after="40"/>
              <w:jc w:val="left"/>
              <w:rPr>
                <w:u w:val="none"/>
              </w:rPr>
            </w:pP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14:paraId="641A6F0A" w14:textId="77777777" w:rsidR="00823DB0" w:rsidRPr="00162386" w:rsidRDefault="00823DB0" w:rsidP="00162386">
            <w:pPr>
              <w:pStyle w:val="COMParaDecision"/>
              <w:numPr>
                <w:ilvl w:val="0"/>
                <w:numId w:val="0"/>
              </w:numPr>
              <w:spacing w:before="40" w:after="40"/>
              <w:jc w:val="left"/>
              <w:rPr>
                <w:u w:val="none"/>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522B16A" w14:textId="1C49DDDA" w:rsidR="00823DB0" w:rsidRPr="00162386" w:rsidRDefault="00823DB0" w:rsidP="00162386">
            <w:pPr>
              <w:pStyle w:val="COMParaDecision"/>
              <w:numPr>
                <w:ilvl w:val="0"/>
                <w:numId w:val="0"/>
              </w:numPr>
              <w:spacing w:before="40" w:after="40"/>
              <w:jc w:val="left"/>
              <w:rPr>
                <w:u w:val="none"/>
              </w:rPr>
            </w:pPr>
            <w:r>
              <w:rPr>
                <w:u w:val="none"/>
              </w:rPr>
              <w:t>38 éléments inscrits</w:t>
            </w:r>
          </w:p>
        </w:tc>
      </w:tr>
    </w:tbl>
    <w:p w14:paraId="06DC5AB9" w14:textId="77777777" w:rsidR="00030F47" w:rsidRPr="00721707" w:rsidRDefault="00030F47" w:rsidP="00A36253">
      <w:pPr>
        <w:pStyle w:val="COMParaDecision"/>
        <w:numPr>
          <w:ilvl w:val="0"/>
          <w:numId w:val="0"/>
        </w:numPr>
        <w:jc w:val="left"/>
      </w:pPr>
    </w:p>
    <w:sectPr w:rsidR="00030F47" w:rsidRPr="00721707" w:rsidSect="006D7FBA">
      <w:pgSz w:w="16838" w:h="11906" w:orient="landscape" w:code="9"/>
      <w:pgMar w:top="1134" w:right="1134" w:bottom="1134" w:left="1134" w:header="397" w:footer="28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8FC587" w16cid:durableId="1F4A3897"/>
  <w16cid:commentId w16cid:paraId="71008D63" w16cid:durableId="1F4A6D0C"/>
  <w16cid:commentId w16cid:paraId="4B53BA73" w16cid:durableId="1F4A38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11D4B" w14:textId="77777777" w:rsidR="008F7D2B" w:rsidRDefault="008F7D2B" w:rsidP="00655736">
      <w:r>
        <w:separator/>
      </w:r>
    </w:p>
  </w:endnote>
  <w:endnote w:type="continuationSeparator" w:id="0">
    <w:p w14:paraId="380EA671" w14:textId="77777777" w:rsidR="008F7D2B" w:rsidRDefault="008F7D2B"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F9A25" w14:textId="77777777" w:rsidR="008F7D2B" w:rsidRDefault="008F7D2B" w:rsidP="00655736">
      <w:r>
        <w:separator/>
      </w:r>
    </w:p>
  </w:footnote>
  <w:footnote w:type="continuationSeparator" w:id="0">
    <w:p w14:paraId="09248161" w14:textId="77777777" w:rsidR="008F7D2B" w:rsidRDefault="008F7D2B"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F5546" w14:textId="08D17524" w:rsidR="008F7D2B" w:rsidRPr="00C23A97" w:rsidRDefault="008F7D2B" w:rsidP="001D14FE">
    <w:pPr>
      <w:pStyle w:val="Header"/>
      <w:rPr>
        <w:rFonts w:ascii="Arial" w:hAnsi="Arial" w:cs="Arial"/>
      </w:rPr>
    </w:pPr>
    <w:r>
      <w:rPr>
        <w:rFonts w:ascii="Arial" w:hAnsi="Arial"/>
        <w:sz w:val="20"/>
        <w:szCs w:val="20"/>
      </w:rPr>
      <w:t xml:space="preserve">ITH/18/13.COM/15 – page </w:t>
    </w:r>
    <w:r w:rsidRPr="00FC5666">
      <w:rPr>
        <w:rStyle w:val="PageNumber"/>
        <w:rFonts w:ascii="Arial" w:hAnsi="Arial" w:cs="Arial"/>
        <w:sz w:val="20"/>
        <w:szCs w:val="20"/>
      </w:rPr>
      <w:fldChar w:fldCharType="begin"/>
    </w:r>
    <w:r w:rsidRPr="00FC5666">
      <w:rPr>
        <w:rStyle w:val="PageNumber"/>
        <w:rFonts w:ascii="Arial" w:hAnsi="Arial" w:cs="Arial"/>
        <w:sz w:val="20"/>
        <w:szCs w:val="20"/>
      </w:rPr>
      <w:instrText xml:space="preserve"> PAGE </w:instrText>
    </w:r>
    <w:r w:rsidRPr="00FC5666">
      <w:rPr>
        <w:rStyle w:val="PageNumber"/>
        <w:rFonts w:ascii="Arial" w:hAnsi="Arial" w:cs="Arial"/>
        <w:sz w:val="20"/>
        <w:szCs w:val="20"/>
      </w:rPr>
      <w:fldChar w:fldCharType="separate"/>
    </w:r>
    <w:r w:rsidR="005B7FB6">
      <w:rPr>
        <w:rStyle w:val="PageNumber"/>
        <w:rFonts w:ascii="Arial" w:hAnsi="Arial" w:cs="Arial"/>
        <w:noProof/>
        <w:sz w:val="20"/>
        <w:szCs w:val="20"/>
      </w:rPr>
      <w:t>4</w:t>
    </w:r>
    <w:r w:rsidRPr="00FC5666">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B58E" w14:textId="283CE769" w:rsidR="008F7D2B" w:rsidRPr="0063300C" w:rsidRDefault="008F7D2B" w:rsidP="001D14FE">
    <w:pPr>
      <w:pStyle w:val="Header"/>
      <w:jc w:val="right"/>
      <w:rPr>
        <w:rFonts w:ascii="Arial" w:hAnsi="Arial" w:cs="Arial"/>
      </w:rPr>
    </w:pPr>
    <w:r>
      <w:rPr>
        <w:rFonts w:ascii="Arial" w:hAnsi="Arial"/>
        <w:sz w:val="20"/>
        <w:szCs w:val="20"/>
      </w:rPr>
      <w:t xml:space="preserve">ITH/18/13.COM/15 – page </w:t>
    </w:r>
    <w:r w:rsidRPr="007F10AB">
      <w:rPr>
        <w:rStyle w:val="PageNumber"/>
        <w:rFonts w:ascii="Arial" w:hAnsi="Arial" w:cs="Arial"/>
        <w:sz w:val="20"/>
        <w:szCs w:val="20"/>
      </w:rPr>
      <w:fldChar w:fldCharType="begin"/>
    </w:r>
    <w:r w:rsidRPr="007F10AB">
      <w:rPr>
        <w:rStyle w:val="PageNumber"/>
        <w:rFonts w:ascii="Arial" w:hAnsi="Arial" w:cs="Arial"/>
        <w:sz w:val="20"/>
        <w:szCs w:val="20"/>
      </w:rPr>
      <w:instrText xml:space="preserve"> PAGE </w:instrText>
    </w:r>
    <w:r w:rsidRPr="007F10AB">
      <w:rPr>
        <w:rStyle w:val="PageNumber"/>
        <w:rFonts w:ascii="Arial" w:hAnsi="Arial" w:cs="Arial"/>
        <w:sz w:val="20"/>
        <w:szCs w:val="20"/>
      </w:rPr>
      <w:fldChar w:fldCharType="separate"/>
    </w:r>
    <w:r w:rsidR="005B7FB6">
      <w:rPr>
        <w:rStyle w:val="PageNumber"/>
        <w:rFonts w:ascii="Arial" w:hAnsi="Arial" w:cs="Arial"/>
        <w:noProof/>
        <w:sz w:val="20"/>
        <w:szCs w:val="20"/>
      </w:rPr>
      <w:t>5</w:t>
    </w:r>
    <w:r w:rsidRPr="007F10A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7CC4E" w14:textId="17574C01" w:rsidR="008F7D2B" w:rsidRPr="00E95AE2" w:rsidRDefault="008F7D2B">
    <w:pPr>
      <w:pStyle w:val="Header"/>
      <w:rPr>
        <w:sz w:val="22"/>
        <w:szCs w:val="22"/>
      </w:rPr>
    </w:pPr>
    <w:r>
      <w:rPr>
        <w:noProof/>
        <w:lang w:val="en-US" w:eastAsia="ko-KR"/>
      </w:rPr>
      <w:drawing>
        <wp:anchor distT="0" distB="0" distL="114300" distR="114300" simplePos="0" relativeHeight="251659776" behindDoc="0" locked="0" layoutInCell="1" allowOverlap="1" wp14:anchorId="0393ACE2" wp14:editId="1FBE07B1">
          <wp:simplePos x="0" y="0"/>
          <wp:positionH relativeFrom="page">
            <wp:posOffset>342265</wp:posOffset>
          </wp:positionH>
          <wp:positionV relativeFrom="page">
            <wp:posOffset>255905</wp:posOffset>
          </wp:positionV>
          <wp:extent cx="2037600" cy="1530000"/>
          <wp:effectExtent l="0" t="0" r="127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D58FA0" w14:textId="77777777" w:rsidR="008F7D2B" w:rsidRPr="00A0273A" w:rsidRDefault="008F7D2B" w:rsidP="001D14FE">
    <w:pPr>
      <w:pStyle w:val="Header"/>
      <w:spacing w:after="520"/>
      <w:jc w:val="right"/>
      <w:rPr>
        <w:rFonts w:ascii="Arial" w:hAnsi="Arial" w:cs="Arial"/>
        <w:b/>
        <w:sz w:val="44"/>
        <w:szCs w:val="44"/>
        <w:lang w:val="en-US"/>
      </w:rPr>
    </w:pPr>
    <w:r w:rsidRPr="00A0273A">
      <w:rPr>
        <w:rFonts w:ascii="Arial" w:hAnsi="Arial"/>
        <w:b/>
        <w:sz w:val="44"/>
        <w:szCs w:val="44"/>
        <w:lang w:val="en-US"/>
      </w:rPr>
      <w:t>13 COM</w:t>
    </w:r>
  </w:p>
  <w:p w14:paraId="6BF3A4F2" w14:textId="77777777" w:rsidR="008F7D2B" w:rsidRPr="00A0273A" w:rsidRDefault="008F7D2B" w:rsidP="001D14FE">
    <w:pPr>
      <w:jc w:val="right"/>
      <w:rPr>
        <w:rFonts w:ascii="Arial" w:hAnsi="Arial" w:cs="Arial"/>
        <w:b/>
        <w:sz w:val="22"/>
        <w:szCs w:val="22"/>
        <w:lang w:val="en-US"/>
      </w:rPr>
    </w:pPr>
    <w:r w:rsidRPr="00A0273A">
      <w:rPr>
        <w:rFonts w:ascii="Arial" w:hAnsi="Arial"/>
        <w:b/>
        <w:sz w:val="22"/>
        <w:szCs w:val="22"/>
        <w:lang w:val="en-US"/>
      </w:rPr>
      <w:t>ITH/18/13.COM/15</w:t>
    </w:r>
  </w:p>
  <w:p w14:paraId="7D0BBE1D" w14:textId="40B6AD8A" w:rsidR="008F7D2B" w:rsidRPr="00A0273A" w:rsidRDefault="008F7D2B" w:rsidP="005B7FB6">
    <w:pPr>
      <w:jc w:val="right"/>
      <w:rPr>
        <w:rFonts w:ascii="Arial" w:eastAsiaTheme="minorEastAsia" w:hAnsi="Arial" w:cs="Arial"/>
        <w:b/>
        <w:sz w:val="22"/>
        <w:szCs w:val="22"/>
        <w:lang w:val="en-US"/>
      </w:rPr>
    </w:pPr>
    <w:r w:rsidRPr="00A0273A">
      <w:rPr>
        <w:rFonts w:ascii="Arial" w:hAnsi="Arial"/>
        <w:b/>
        <w:sz w:val="22"/>
        <w:szCs w:val="22"/>
        <w:lang w:val="en-US"/>
      </w:rPr>
      <w:t>Paris, le</w:t>
    </w:r>
    <w:r w:rsidR="005B7FB6">
      <w:rPr>
        <w:rFonts w:ascii="Arial" w:hAnsi="Arial"/>
        <w:b/>
        <w:sz w:val="22"/>
        <w:szCs w:val="22"/>
        <w:lang w:val="en-US"/>
      </w:rPr>
      <w:t xml:space="preserve"> 29 </w:t>
    </w:r>
    <w:r w:rsidR="005B7FB6" w:rsidRPr="005B7FB6">
      <w:rPr>
        <w:rFonts w:ascii="Arial" w:hAnsi="Arial"/>
        <w:b/>
        <w:sz w:val="22"/>
        <w:szCs w:val="22"/>
      </w:rPr>
      <w:t>octobre</w:t>
    </w:r>
    <w:r w:rsidRPr="00A0273A">
      <w:rPr>
        <w:rFonts w:ascii="Arial" w:hAnsi="Arial"/>
        <w:b/>
        <w:sz w:val="22"/>
        <w:szCs w:val="22"/>
        <w:lang w:val="en-US"/>
      </w:rPr>
      <w:t> 2018</w:t>
    </w:r>
  </w:p>
  <w:p w14:paraId="46895572" w14:textId="77777777" w:rsidR="008F7D2B" w:rsidRPr="00F32C23" w:rsidRDefault="008F7D2B" w:rsidP="000048ED">
    <w:pPr>
      <w:jc w:val="right"/>
      <w:rPr>
        <w:rFonts w:ascii="Arial" w:hAnsi="Arial" w:cs="Arial"/>
        <w:b/>
        <w:sz w:val="22"/>
        <w:szCs w:val="22"/>
      </w:rPr>
    </w:pPr>
    <w:r>
      <w:rPr>
        <w:rFonts w:ascii="Arial" w:hAnsi="Arial"/>
        <w:b/>
        <w:sz w:val="22"/>
        <w:szCs w:val="22"/>
      </w:rPr>
      <w:t>Original : anglais</w:t>
    </w:r>
  </w:p>
  <w:p w14:paraId="1D9FDA72" w14:textId="77777777" w:rsidR="008F7D2B" w:rsidRPr="00E95AE2" w:rsidRDefault="008F7D2B">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55864F30"/>
    <w:lvl w:ilvl="0" w:tplc="76CAC304">
      <w:start w:val="1"/>
      <w:numFmt w:val="decimal"/>
      <w:pStyle w:val="COMPara"/>
      <w:lvlText w:val="%1."/>
      <w:lvlJc w:val="left"/>
      <w:pPr>
        <w:ind w:left="720" w:hanging="360"/>
      </w:pPr>
    </w:lvl>
    <w:lvl w:ilvl="1" w:tplc="901E44B6">
      <w:numFmt w:val="bullet"/>
      <w:lvlText w:val=""/>
      <w:lvlJc w:val="left"/>
      <w:pPr>
        <w:ind w:left="1440" w:hanging="360"/>
      </w:pPr>
      <w:rPr>
        <w:rFonts w:ascii="Symbol" w:eastAsia="SimSun" w:hAnsi="Symbol" w:cs="Times New Roman"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BD40C5"/>
    <w:multiLevelType w:val="hybridMultilevel"/>
    <w:tmpl w:val="B9E64288"/>
    <w:lvl w:ilvl="0" w:tplc="08A29940">
      <w:start w:val="1"/>
      <w:numFmt w:val="lowerLetter"/>
      <w:lvlText w:val="%1)"/>
      <w:lvlJc w:val="left"/>
      <w:pPr>
        <w:ind w:left="720" w:hanging="360"/>
      </w:pPr>
      <w:rPr>
        <w:rFonts w:ascii="Arial" w:eastAsia="MS Mincho"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1"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12"/>
  </w:num>
  <w:num w:numId="5">
    <w:abstractNumId w:val="11"/>
  </w:num>
  <w:num w:numId="6">
    <w:abstractNumId w:val="0"/>
  </w:num>
  <w:num w:numId="7">
    <w:abstractNumId w:val="2"/>
  </w:num>
  <w:num w:numId="8">
    <w:abstractNumId w:val="9"/>
  </w:num>
  <w:num w:numId="9">
    <w:abstractNumId w:val="3"/>
  </w:num>
  <w:num w:numId="10">
    <w:abstractNumId w:val="5"/>
  </w:num>
  <w:num w:numId="11">
    <w:abstractNumId w:val="8"/>
  </w:num>
  <w:num w:numId="12">
    <w:abstractNumId w:val="6"/>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7"/>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5"/>
  </w:num>
  <w:num w:numId="40">
    <w:abstractNumId w:val="5"/>
  </w:num>
  <w:num w:numId="41">
    <w:abstractNumId w:val="5"/>
  </w:num>
  <w:num w:numId="42">
    <w:abstractNumId w:val="5"/>
  </w:num>
  <w:num w:numId="43">
    <w:abstractNumId w:val="3"/>
  </w:num>
  <w:num w:numId="44">
    <w:abstractNumId w:val="3"/>
  </w:num>
  <w:num w:numId="45">
    <w:abstractNumId w:val="3"/>
  </w:num>
  <w:num w:numId="46">
    <w:abstractNumId w:val="3"/>
  </w:num>
  <w:num w:numId="47">
    <w:abstractNumId w:val="3"/>
  </w:num>
  <w:num w:numId="48">
    <w:abstractNumId w:val="3"/>
  </w:num>
  <w:num w:numId="49">
    <w:abstractNumId w:val="3"/>
  </w:num>
  <w:num w:numId="50">
    <w:abstractNumId w:val="3"/>
  </w:num>
  <w:num w:numId="51">
    <w:abstractNumId w:val="3"/>
  </w:num>
  <w:num w:numId="52">
    <w:abstractNumId w:val="3"/>
  </w:num>
  <w:num w:numId="53">
    <w:abstractNumId w:val="3"/>
  </w:num>
  <w:num w:numId="54">
    <w:abstractNumId w:val="3"/>
  </w:num>
  <w:num w:numId="55">
    <w:abstractNumId w:val="3"/>
  </w:num>
  <w:num w:numId="56">
    <w:abstractNumId w:val="3"/>
  </w:num>
  <w:num w:numId="57">
    <w:abstractNumId w:val="3"/>
  </w:num>
  <w:num w:numId="58">
    <w:abstractNumId w:val="3"/>
  </w:num>
  <w:num w:numId="59">
    <w:abstractNumId w:val="3"/>
  </w:num>
  <w:num w:numId="60">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48ED"/>
    <w:rsid w:val="00020FCD"/>
    <w:rsid w:val="00030F47"/>
    <w:rsid w:val="00041A66"/>
    <w:rsid w:val="00045169"/>
    <w:rsid w:val="0005176E"/>
    <w:rsid w:val="00055D40"/>
    <w:rsid w:val="000727F3"/>
    <w:rsid w:val="000765F7"/>
    <w:rsid w:val="00076639"/>
    <w:rsid w:val="00077AB7"/>
    <w:rsid w:val="00081CD8"/>
    <w:rsid w:val="00082905"/>
    <w:rsid w:val="00084D42"/>
    <w:rsid w:val="000865EB"/>
    <w:rsid w:val="000A306A"/>
    <w:rsid w:val="000A7F0E"/>
    <w:rsid w:val="000B10E3"/>
    <w:rsid w:val="000B1C8F"/>
    <w:rsid w:val="000B3423"/>
    <w:rsid w:val="000B64CB"/>
    <w:rsid w:val="000C0D61"/>
    <w:rsid w:val="000D13A3"/>
    <w:rsid w:val="000F3A3F"/>
    <w:rsid w:val="00101288"/>
    <w:rsid w:val="0010192E"/>
    <w:rsid w:val="00101C76"/>
    <w:rsid w:val="00102557"/>
    <w:rsid w:val="001119EC"/>
    <w:rsid w:val="001124EF"/>
    <w:rsid w:val="00116C93"/>
    <w:rsid w:val="00123C1D"/>
    <w:rsid w:val="001252A8"/>
    <w:rsid w:val="001342F9"/>
    <w:rsid w:val="0013621B"/>
    <w:rsid w:val="001551D4"/>
    <w:rsid w:val="00162386"/>
    <w:rsid w:val="001639C1"/>
    <w:rsid w:val="00164D56"/>
    <w:rsid w:val="00167B10"/>
    <w:rsid w:val="0017402F"/>
    <w:rsid w:val="001753B4"/>
    <w:rsid w:val="00175579"/>
    <w:rsid w:val="00175C2B"/>
    <w:rsid w:val="00196C1B"/>
    <w:rsid w:val="001972C0"/>
    <w:rsid w:val="001A4192"/>
    <w:rsid w:val="001B0F73"/>
    <w:rsid w:val="001B308A"/>
    <w:rsid w:val="001C2DB7"/>
    <w:rsid w:val="001D14FE"/>
    <w:rsid w:val="001D5C04"/>
    <w:rsid w:val="001E13DE"/>
    <w:rsid w:val="001E4CA6"/>
    <w:rsid w:val="001F1A1E"/>
    <w:rsid w:val="001F26CF"/>
    <w:rsid w:val="001F5C5D"/>
    <w:rsid w:val="0020106E"/>
    <w:rsid w:val="00201F18"/>
    <w:rsid w:val="00210B87"/>
    <w:rsid w:val="00221160"/>
    <w:rsid w:val="00222A2D"/>
    <w:rsid w:val="00223029"/>
    <w:rsid w:val="00230B34"/>
    <w:rsid w:val="00234745"/>
    <w:rsid w:val="00234797"/>
    <w:rsid w:val="002351A6"/>
    <w:rsid w:val="002407AF"/>
    <w:rsid w:val="00244470"/>
    <w:rsid w:val="00247062"/>
    <w:rsid w:val="00263B58"/>
    <w:rsid w:val="00270CD2"/>
    <w:rsid w:val="00272F30"/>
    <w:rsid w:val="0027466B"/>
    <w:rsid w:val="00275D51"/>
    <w:rsid w:val="002838A5"/>
    <w:rsid w:val="00285BB4"/>
    <w:rsid w:val="002926CA"/>
    <w:rsid w:val="00294118"/>
    <w:rsid w:val="002A461D"/>
    <w:rsid w:val="002A5E14"/>
    <w:rsid w:val="002B4B91"/>
    <w:rsid w:val="002C09E3"/>
    <w:rsid w:val="002C0A86"/>
    <w:rsid w:val="002E0173"/>
    <w:rsid w:val="002E76A6"/>
    <w:rsid w:val="002F5403"/>
    <w:rsid w:val="00301916"/>
    <w:rsid w:val="00307E7F"/>
    <w:rsid w:val="00316F3A"/>
    <w:rsid w:val="00337CEB"/>
    <w:rsid w:val="00344B58"/>
    <w:rsid w:val="00344D4C"/>
    <w:rsid w:val="0034539A"/>
    <w:rsid w:val="00345CB4"/>
    <w:rsid w:val="003521D2"/>
    <w:rsid w:val="00354416"/>
    <w:rsid w:val="00355228"/>
    <w:rsid w:val="00355AFE"/>
    <w:rsid w:val="00371F42"/>
    <w:rsid w:val="00375D42"/>
    <w:rsid w:val="00376B83"/>
    <w:rsid w:val="0038140A"/>
    <w:rsid w:val="00394BF7"/>
    <w:rsid w:val="0039664D"/>
    <w:rsid w:val="003B4781"/>
    <w:rsid w:val="003D069C"/>
    <w:rsid w:val="003D6A1F"/>
    <w:rsid w:val="003D7646"/>
    <w:rsid w:val="003E3197"/>
    <w:rsid w:val="003E3886"/>
    <w:rsid w:val="003E4C5A"/>
    <w:rsid w:val="003F113A"/>
    <w:rsid w:val="003F1CB8"/>
    <w:rsid w:val="003F3E63"/>
    <w:rsid w:val="00404106"/>
    <w:rsid w:val="00404C3B"/>
    <w:rsid w:val="00407480"/>
    <w:rsid w:val="00414643"/>
    <w:rsid w:val="004311EE"/>
    <w:rsid w:val="004369AE"/>
    <w:rsid w:val="00440874"/>
    <w:rsid w:val="004421E5"/>
    <w:rsid w:val="0044475A"/>
    <w:rsid w:val="00452284"/>
    <w:rsid w:val="00457C8E"/>
    <w:rsid w:val="004719A5"/>
    <w:rsid w:val="00471DC8"/>
    <w:rsid w:val="0047471F"/>
    <w:rsid w:val="0048004A"/>
    <w:rsid w:val="004823A9"/>
    <w:rsid w:val="004856CA"/>
    <w:rsid w:val="00487E67"/>
    <w:rsid w:val="00490FB3"/>
    <w:rsid w:val="0049705E"/>
    <w:rsid w:val="004A34A0"/>
    <w:rsid w:val="004B15B9"/>
    <w:rsid w:val="004C4D3D"/>
    <w:rsid w:val="004E071E"/>
    <w:rsid w:val="005008A8"/>
    <w:rsid w:val="005060D6"/>
    <w:rsid w:val="00506B17"/>
    <w:rsid w:val="00515807"/>
    <w:rsid w:val="00516890"/>
    <w:rsid w:val="00517591"/>
    <w:rsid w:val="00526B7B"/>
    <w:rsid w:val="005308CE"/>
    <w:rsid w:val="0053318C"/>
    <w:rsid w:val="00533C61"/>
    <w:rsid w:val="005362ED"/>
    <w:rsid w:val="0056756E"/>
    <w:rsid w:val="00567927"/>
    <w:rsid w:val="005742AA"/>
    <w:rsid w:val="0057439C"/>
    <w:rsid w:val="005B0127"/>
    <w:rsid w:val="005B0F6D"/>
    <w:rsid w:val="005B7A35"/>
    <w:rsid w:val="005B7FB6"/>
    <w:rsid w:val="005C4B73"/>
    <w:rsid w:val="005E1D2B"/>
    <w:rsid w:val="005E49E5"/>
    <w:rsid w:val="005E7074"/>
    <w:rsid w:val="005F13AB"/>
    <w:rsid w:val="005F2BAF"/>
    <w:rsid w:val="005F7A18"/>
    <w:rsid w:val="00600D93"/>
    <w:rsid w:val="00616A14"/>
    <w:rsid w:val="0063300C"/>
    <w:rsid w:val="00636EA2"/>
    <w:rsid w:val="00641734"/>
    <w:rsid w:val="006451BA"/>
    <w:rsid w:val="00646EF6"/>
    <w:rsid w:val="00655736"/>
    <w:rsid w:val="00663B8D"/>
    <w:rsid w:val="00681209"/>
    <w:rsid w:val="00681B8B"/>
    <w:rsid w:val="00687B2D"/>
    <w:rsid w:val="00695834"/>
    <w:rsid w:val="00696C8D"/>
    <w:rsid w:val="006A2AC2"/>
    <w:rsid w:val="006A3617"/>
    <w:rsid w:val="006A4254"/>
    <w:rsid w:val="006A4B18"/>
    <w:rsid w:val="006B1690"/>
    <w:rsid w:val="006C1000"/>
    <w:rsid w:val="006C3C21"/>
    <w:rsid w:val="006C4933"/>
    <w:rsid w:val="006D0EC4"/>
    <w:rsid w:val="006D69C5"/>
    <w:rsid w:val="006D7FBA"/>
    <w:rsid w:val="006E4083"/>
    <w:rsid w:val="006E46E4"/>
    <w:rsid w:val="00707CC6"/>
    <w:rsid w:val="00717DA5"/>
    <w:rsid w:val="00721707"/>
    <w:rsid w:val="00725B07"/>
    <w:rsid w:val="00725D09"/>
    <w:rsid w:val="00732D11"/>
    <w:rsid w:val="00744484"/>
    <w:rsid w:val="00747566"/>
    <w:rsid w:val="0075127A"/>
    <w:rsid w:val="007529D4"/>
    <w:rsid w:val="007607D7"/>
    <w:rsid w:val="0076583B"/>
    <w:rsid w:val="00773188"/>
    <w:rsid w:val="00783782"/>
    <w:rsid w:val="00784B8C"/>
    <w:rsid w:val="007879E1"/>
    <w:rsid w:val="007C6B94"/>
    <w:rsid w:val="007D1CEC"/>
    <w:rsid w:val="007D2064"/>
    <w:rsid w:val="007D70FE"/>
    <w:rsid w:val="007E3B16"/>
    <w:rsid w:val="007E738F"/>
    <w:rsid w:val="007F10AB"/>
    <w:rsid w:val="00816335"/>
    <w:rsid w:val="00823A11"/>
    <w:rsid w:val="00823DB0"/>
    <w:rsid w:val="00830AD5"/>
    <w:rsid w:val="0085405E"/>
    <w:rsid w:val="0085414A"/>
    <w:rsid w:val="0085771B"/>
    <w:rsid w:val="008610A9"/>
    <w:rsid w:val="0086269D"/>
    <w:rsid w:val="0086543A"/>
    <w:rsid w:val="008724E5"/>
    <w:rsid w:val="0087403F"/>
    <w:rsid w:val="00884016"/>
    <w:rsid w:val="00884A9D"/>
    <w:rsid w:val="0088512B"/>
    <w:rsid w:val="008A2B2D"/>
    <w:rsid w:val="008A4E1E"/>
    <w:rsid w:val="008A64DB"/>
    <w:rsid w:val="008A729A"/>
    <w:rsid w:val="008B0500"/>
    <w:rsid w:val="008B0533"/>
    <w:rsid w:val="008B4FBB"/>
    <w:rsid w:val="008C179C"/>
    <w:rsid w:val="008C296C"/>
    <w:rsid w:val="008C38C6"/>
    <w:rsid w:val="008D2410"/>
    <w:rsid w:val="008D4305"/>
    <w:rsid w:val="008D50BD"/>
    <w:rsid w:val="008E1A85"/>
    <w:rsid w:val="008F1696"/>
    <w:rsid w:val="008F71C8"/>
    <w:rsid w:val="008F7D2B"/>
    <w:rsid w:val="00903AAB"/>
    <w:rsid w:val="009163A7"/>
    <w:rsid w:val="00945B5B"/>
    <w:rsid w:val="00946D0B"/>
    <w:rsid w:val="00953B40"/>
    <w:rsid w:val="00955877"/>
    <w:rsid w:val="0097644B"/>
    <w:rsid w:val="00980FC4"/>
    <w:rsid w:val="00982829"/>
    <w:rsid w:val="009A18CD"/>
    <w:rsid w:val="009D5428"/>
    <w:rsid w:val="009D7D02"/>
    <w:rsid w:val="009E022C"/>
    <w:rsid w:val="009E1757"/>
    <w:rsid w:val="009E38AB"/>
    <w:rsid w:val="009E66CC"/>
    <w:rsid w:val="00A0273A"/>
    <w:rsid w:val="00A12558"/>
    <w:rsid w:val="00A13903"/>
    <w:rsid w:val="00A1589E"/>
    <w:rsid w:val="00A16A4D"/>
    <w:rsid w:val="00A17ED0"/>
    <w:rsid w:val="00A203AE"/>
    <w:rsid w:val="00A226D6"/>
    <w:rsid w:val="00A229E7"/>
    <w:rsid w:val="00A23ED0"/>
    <w:rsid w:val="00A345E8"/>
    <w:rsid w:val="00A34ED5"/>
    <w:rsid w:val="00A36253"/>
    <w:rsid w:val="00A4477B"/>
    <w:rsid w:val="00A45DBF"/>
    <w:rsid w:val="00A755A2"/>
    <w:rsid w:val="00A83940"/>
    <w:rsid w:val="00A933F3"/>
    <w:rsid w:val="00AA6660"/>
    <w:rsid w:val="00AB2C36"/>
    <w:rsid w:val="00AB6DDE"/>
    <w:rsid w:val="00AB70B6"/>
    <w:rsid w:val="00AB72B7"/>
    <w:rsid w:val="00AD1A86"/>
    <w:rsid w:val="00AE0AF2"/>
    <w:rsid w:val="00AE103E"/>
    <w:rsid w:val="00AE6F60"/>
    <w:rsid w:val="00AF0A07"/>
    <w:rsid w:val="00AF2AAC"/>
    <w:rsid w:val="00AF4AEC"/>
    <w:rsid w:val="00AF625E"/>
    <w:rsid w:val="00B00211"/>
    <w:rsid w:val="00B06119"/>
    <w:rsid w:val="00B10CBD"/>
    <w:rsid w:val="00B151E2"/>
    <w:rsid w:val="00B22BEC"/>
    <w:rsid w:val="00B347EC"/>
    <w:rsid w:val="00B36642"/>
    <w:rsid w:val="00B4032C"/>
    <w:rsid w:val="00B61E40"/>
    <w:rsid w:val="00B6254A"/>
    <w:rsid w:val="00B66169"/>
    <w:rsid w:val="00B67204"/>
    <w:rsid w:val="00B73C54"/>
    <w:rsid w:val="00B81982"/>
    <w:rsid w:val="00B86B38"/>
    <w:rsid w:val="00B9142A"/>
    <w:rsid w:val="00BB04AF"/>
    <w:rsid w:val="00BB2C6F"/>
    <w:rsid w:val="00BC18B1"/>
    <w:rsid w:val="00BC335D"/>
    <w:rsid w:val="00BC4F13"/>
    <w:rsid w:val="00BD52C9"/>
    <w:rsid w:val="00BD5AAD"/>
    <w:rsid w:val="00BE506D"/>
    <w:rsid w:val="00BE6354"/>
    <w:rsid w:val="00C06EC1"/>
    <w:rsid w:val="00C138D1"/>
    <w:rsid w:val="00C20920"/>
    <w:rsid w:val="00C22837"/>
    <w:rsid w:val="00C23A97"/>
    <w:rsid w:val="00C2491D"/>
    <w:rsid w:val="00C33B53"/>
    <w:rsid w:val="00C50DD5"/>
    <w:rsid w:val="00C64855"/>
    <w:rsid w:val="00C661DD"/>
    <w:rsid w:val="00C70EA7"/>
    <w:rsid w:val="00C7433F"/>
    <w:rsid w:val="00C7516E"/>
    <w:rsid w:val="00C75770"/>
    <w:rsid w:val="00C812B9"/>
    <w:rsid w:val="00C85B33"/>
    <w:rsid w:val="00C95981"/>
    <w:rsid w:val="00CA480F"/>
    <w:rsid w:val="00CA50E5"/>
    <w:rsid w:val="00CA56BB"/>
    <w:rsid w:val="00CB0542"/>
    <w:rsid w:val="00CB5C5E"/>
    <w:rsid w:val="00CB6A7E"/>
    <w:rsid w:val="00CD1F93"/>
    <w:rsid w:val="00CD474B"/>
    <w:rsid w:val="00CE22E0"/>
    <w:rsid w:val="00CF5D15"/>
    <w:rsid w:val="00D00B2B"/>
    <w:rsid w:val="00D01B7E"/>
    <w:rsid w:val="00D06374"/>
    <w:rsid w:val="00D24877"/>
    <w:rsid w:val="00D30709"/>
    <w:rsid w:val="00D318F6"/>
    <w:rsid w:val="00D4677F"/>
    <w:rsid w:val="00D56FFA"/>
    <w:rsid w:val="00D70C5E"/>
    <w:rsid w:val="00D74582"/>
    <w:rsid w:val="00D817D3"/>
    <w:rsid w:val="00D8200B"/>
    <w:rsid w:val="00D8250F"/>
    <w:rsid w:val="00D83343"/>
    <w:rsid w:val="00D90A35"/>
    <w:rsid w:val="00D90EC8"/>
    <w:rsid w:val="00D95C4C"/>
    <w:rsid w:val="00DA1C9D"/>
    <w:rsid w:val="00DA36ED"/>
    <w:rsid w:val="00DA4146"/>
    <w:rsid w:val="00DB3AE1"/>
    <w:rsid w:val="00DB5949"/>
    <w:rsid w:val="00DD1D19"/>
    <w:rsid w:val="00DE34F1"/>
    <w:rsid w:val="00DE3C3F"/>
    <w:rsid w:val="00DE6160"/>
    <w:rsid w:val="00DF053C"/>
    <w:rsid w:val="00DF4942"/>
    <w:rsid w:val="00E01992"/>
    <w:rsid w:val="00E04062"/>
    <w:rsid w:val="00E15B48"/>
    <w:rsid w:val="00E244E1"/>
    <w:rsid w:val="00E2756A"/>
    <w:rsid w:val="00E35665"/>
    <w:rsid w:val="00E41D11"/>
    <w:rsid w:val="00E53E4A"/>
    <w:rsid w:val="00E545F3"/>
    <w:rsid w:val="00E54EB0"/>
    <w:rsid w:val="00E57827"/>
    <w:rsid w:val="00E627B1"/>
    <w:rsid w:val="00E62D1C"/>
    <w:rsid w:val="00E70169"/>
    <w:rsid w:val="00E8544C"/>
    <w:rsid w:val="00E93091"/>
    <w:rsid w:val="00E9376C"/>
    <w:rsid w:val="00E95AE2"/>
    <w:rsid w:val="00EA292E"/>
    <w:rsid w:val="00EA335E"/>
    <w:rsid w:val="00EA528C"/>
    <w:rsid w:val="00EA580C"/>
    <w:rsid w:val="00EA5EDF"/>
    <w:rsid w:val="00EB1390"/>
    <w:rsid w:val="00EB650B"/>
    <w:rsid w:val="00EB7055"/>
    <w:rsid w:val="00EC6DD3"/>
    <w:rsid w:val="00EC6F8D"/>
    <w:rsid w:val="00EE49F4"/>
    <w:rsid w:val="00EE5094"/>
    <w:rsid w:val="00EF34E2"/>
    <w:rsid w:val="00F14624"/>
    <w:rsid w:val="00F15D15"/>
    <w:rsid w:val="00F30DC6"/>
    <w:rsid w:val="00F32C23"/>
    <w:rsid w:val="00F40139"/>
    <w:rsid w:val="00F44A94"/>
    <w:rsid w:val="00F50765"/>
    <w:rsid w:val="00F53DE9"/>
    <w:rsid w:val="00F576CB"/>
    <w:rsid w:val="00F64D46"/>
    <w:rsid w:val="00F7035D"/>
    <w:rsid w:val="00F71A02"/>
    <w:rsid w:val="00F75463"/>
    <w:rsid w:val="00F76233"/>
    <w:rsid w:val="00F904D6"/>
    <w:rsid w:val="00F94AE3"/>
    <w:rsid w:val="00FA0D63"/>
    <w:rsid w:val="00FC1918"/>
    <w:rsid w:val="00FC3917"/>
    <w:rsid w:val="00FC5666"/>
    <w:rsid w:val="00FD119B"/>
    <w:rsid w:val="00FD1226"/>
    <w:rsid w:val="00FD272D"/>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3242F49"/>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F10AB"/>
    <w:rPr>
      <w:color w:val="0000FF"/>
      <w:u w:val="single"/>
    </w:rPr>
  </w:style>
  <w:style w:type="paragraph" w:styleId="FootnoteText">
    <w:name w:val="footnote text"/>
    <w:basedOn w:val="Normal"/>
    <w:link w:val="FootnoteTextChar"/>
    <w:uiPriority w:val="99"/>
    <w:semiHidden/>
    <w:unhideWhenUsed/>
    <w:rsid w:val="007F10AB"/>
    <w:rPr>
      <w:sz w:val="20"/>
      <w:szCs w:val="20"/>
    </w:rPr>
  </w:style>
  <w:style w:type="character" w:customStyle="1" w:styleId="FootnoteTextChar">
    <w:name w:val="Footnote Text Char"/>
    <w:basedOn w:val="DefaultParagraphFont"/>
    <w:link w:val="FootnoteText"/>
    <w:uiPriority w:val="99"/>
    <w:semiHidden/>
    <w:rsid w:val="007F10AB"/>
    <w:rPr>
      <w:rFonts w:ascii="Times New Roman" w:eastAsia="Times New Roman" w:hAnsi="Times New Roman"/>
    </w:rPr>
  </w:style>
  <w:style w:type="character" w:styleId="FootnoteReference">
    <w:name w:val="footnote reference"/>
    <w:uiPriority w:val="99"/>
    <w:semiHidden/>
    <w:unhideWhenUsed/>
    <w:rsid w:val="007F10AB"/>
    <w:rPr>
      <w:vertAlign w:val="superscript"/>
    </w:rPr>
  </w:style>
  <w:style w:type="character" w:customStyle="1" w:styleId="hps">
    <w:name w:val="hps"/>
    <w:rsid w:val="00FD119B"/>
  </w:style>
  <w:style w:type="character" w:styleId="CommentReference">
    <w:name w:val="annotation reference"/>
    <w:basedOn w:val="DefaultParagraphFont"/>
    <w:uiPriority w:val="99"/>
    <w:semiHidden/>
    <w:unhideWhenUsed/>
    <w:rsid w:val="00275D51"/>
    <w:rPr>
      <w:sz w:val="16"/>
      <w:szCs w:val="16"/>
    </w:rPr>
  </w:style>
  <w:style w:type="paragraph" w:styleId="CommentText">
    <w:name w:val="annotation text"/>
    <w:basedOn w:val="Normal"/>
    <w:link w:val="CommentTextChar"/>
    <w:uiPriority w:val="99"/>
    <w:semiHidden/>
    <w:unhideWhenUsed/>
    <w:rsid w:val="00275D51"/>
    <w:rPr>
      <w:sz w:val="20"/>
      <w:szCs w:val="20"/>
    </w:rPr>
  </w:style>
  <w:style w:type="character" w:customStyle="1" w:styleId="CommentTextChar">
    <w:name w:val="Comment Text Char"/>
    <w:basedOn w:val="DefaultParagraphFont"/>
    <w:link w:val="CommentText"/>
    <w:uiPriority w:val="99"/>
    <w:semiHidden/>
    <w:rsid w:val="00275D5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75D51"/>
    <w:rPr>
      <w:b/>
      <w:bCs/>
    </w:rPr>
  </w:style>
  <w:style w:type="character" w:customStyle="1" w:styleId="CommentSubjectChar">
    <w:name w:val="Comment Subject Char"/>
    <w:basedOn w:val="CommentTextChar"/>
    <w:link w:val="CommentSubject"/>
    <w:uiPriority w:val="99"/>
    <w:semiHidden/>
    <w:rsid w:val="00275D51"/>
    <w:rPr>
      <w:rFonts w:ascii="Times New Roman" w:eastAsia="Times New Roman" w:hAnsi="Times New Roman"/>
      <w:b/>
      <w:bCs/>
    </w:rPr>
  </w:style>
  <w:style w:type="character" w:styleId="FollowedHyperlink">
    <w:name w:val="FollowedHyperlink"/>
    <w:basedOn w:val="DefaultParagraphFont"/>
    <w:uiPriority w:val="99"/>
    <w:semiHidden/>
    <w:unhideWhenUsed/>
    <w:rsid w:val="00020F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8385">
      <w:bodyDiv w:val="1"/>
      <w:marLeft w:val="0"/>
      <w:marRight w:val="0"/>
      <w:marTop w:val="0"/>
      <w:marBottom w:val="0"/>
      <w:divBdr>
        <w:top w:val="none" w:sz="0" w:space="0" w:color="auto"/>
        <w:left w:val="none" w:sz="0" w:space="0" w:color="auto"/>
        <w:bottom w:val="none" w:sz="0" w:space="0" w:color="auto"/>
        <w:right w:val="none" w:sz="0" w:space="0" w:color="auto"/>
      </w:divBdr>
    </w:div>
    <w:div w:id="168984226">
      <w:bodyDiv w:val="1"/>
      <w:marLeft w:val="0"/>
      <w:marRight w:val="0"/>
      <w:marTop w:val="0"/>
      <w:marBottom w:val="0"/>
      <w:divBdr>
        <w:top w:val="none" w:sz="0" w:space="0" w:color="auto"/>
        <w:left w:val="none" w:sz="0" w:space="0" w:color="auto"/>
        <w:bottom w:val="none" w:sz="0" w:space="0" w:color="auto"/>
        <w:right w:val="none" w:sz="0" w:space="0" w:color="auto"/>
      </w:divBdr>
    </w:div>
    <w:div w:id="187722630">
      <w:bodyDiv w:val="1"/>
      <w:marLeft w:val="0"/>
      <w:marRight w:val="0"/>
      <w:marTop w:val="0"/>
      <w:marBottom w:val="0"/>
      <w:divBdr>
        <w:top w:val="none" w:sz="0" w:space="0" w:color="auto"/>
        <w:left w:val="none" w:sz="0" w:space="0" w:color="auto"/>
        <w:bottom w:val="none" w:sz="0" w:space="0" w:color="auto"/>
        <w:right w:val="none" w:sz="0" w:space="0" w:color="auto"/>
      </w:divBdr>
    </w:div>
    <w:div w:id="410978186">
      <w:bodyDiv w:val="1"/>
      <w:marLeft w:val="0"/>
      <w:marRight w:val="0"/>
      <w:marTop w:val="0"/>
      <w:marBottom w:val="0"/>
      <w:divBdr>
        <w:top w:val="none" w:sz="0" w:space="0" w:color="auto"/>
        <w:left w:val="none" w:sz="0" w:space="0" w:color="auto"/>
        <w:bottom w:val="none" w:sz="0" w:space="0" w:color="auto"/>
        <w:right w:val="none" w:sz="0" w:space="0" w:color="auto"/>
      </w:divBdr>
    </w:div>
    <w:div w:id="711731195">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66286321">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20792633">
      <w:bodyDiv w:val="1"/>
      <w:marLeft w:val="0"/>
      <w:marRight w:val="0"/>
      <w:marTop w:val="0"/>
      <w:marBottom w:val="0"/>
      <w:divBdr>
        <w:top w:val="none" w:sz="0" w:space="0" w:color="auto"/>
        <w:left w:val="none" w:sz="0" w:space="0" w:color="auto"/>
        <w:bottom w:val="none" w:sz="0" w:space="0" w:color="auto"/>
        <w:right w:val="none" w:sz="0" w:space="0" w:color="auto"/>
      </w:divBdr>
    </w:div>
    <w:div w:id="1789199909">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81435993">
      <w:bodyDiv w:val="1"/>
      <w:marLeft w:val="0"/>
      <w:marRight w:val="0"/>
      <w:marTop w:val="0"/>
      <w:marBottom w:val="0"/>
      <w:divBdr>
        <w:top w:val="none" w:sz="0" w:space="0" w:color="auto"/>
        <w:left w:val="none" w:sz="0" w:space="0" w:color="auto"/>
        <w:bottom w:val="none" w:sz="0" w:space="0" w:color="auto"/>
        <w:right w:val="none" w:sz="0" w:space="0" w:color="auto"/>
      </w:divBdr>
    </w:div>
    <w:div w:id="1897274551">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016223891">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11.COM/12" TargetMode="External"/><Relationship Id="rId13" Type="http://schemas.openxmlformats.org/officeDocument/2006/relationships/hyperlink" Target="https://ich.unesco.org/fr/Decisions/11.COM/12" TargetMode="External"/><Relationship Id="rId18" Type="http://schemas.openxmlformats.org/officeDocument/2006/relationships/hyperlink" Target="https://ich.unesco.org/fr/Decisions/11.COM/12"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ch.unesco.org/fr/Decisions/10.COM/13" TargetMode="External"/><Relationship Id="rId17" Type="http://schemas.openxmlformats.org/officeDocument/2006/relationships/hyperlink" Target="https://ich.unesco.org/fr/Decisions/10.COM/1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h.unesco.org/fr/Decisions/12.COM/13" TargetMode="External"/><Relationship Id="rId20" Type="http://schemas.openxmlformats.org/officeDocument/2006/relationships/hyperlink" Target="https://ich.unesco.org/fr/Decisions/12.COM/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etats-soumissionnaires-et-priorites-2019-0097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ch.unesco.org/fr/Decisions/12.COM/14" TargetMode="External"/><Relationship Id="rId23" Type="http://schemas.openxmlformats.org/officeDocument/2006/relationships/header" Target="header3.xml"/><Relationship Id="rId28" Type="http://schemas.microsoft.com/office/2016/09/relationships/commentsIds" Target="commentsIds.xml"/><Relationship Id="rId10" Type="http://schemas.openxmlformats.org/officeDocument/2006/relationships/hyperlink" Target="https://ich.unesco.org/fr/etats-soumissionnaires-et-priorites-00914" TargetMode="External"/><Relationship Id="rId19" Type="http://schemas.openxmlformats.org/officeDocument/2006/relationships/hyperlink" Target="https://ich.unesco.org/fr/Decisions/12.COM/13" TargetMode="External"/><Relationship Id="rId4" Type="http://schemas.openxmlformats.org/officeDocument/2006/relationships/settings" Target="settings.xml"/><Relationship Id="rId9" Type="http://schemas.openxmlformats.org/officeDocument/2006/relationships/hyperlink" Target="https://ich.unesco.org/fr/etats-soumissionnaires-et-priorites-2019-00979" TargetMode="External"/><Relationship Id="rId14" Type="http://schemas.openxmlformats.org/officeDocument/2006/relationships/hyperlink" Target="https://ich.unesco.org/doc/src/ITH-16-11.COM-12-FR.docx" TargetMode="External"/><Relationship Id="rId22"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6FED4-AA34-4316-8645-9ECD1E07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1211</TotalTime>
  <Pages>9</Pages>
  <Words>3562</Words>
  <Characters>20310</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Shin, Eunkyung</cp:lastModifiedBy>
  <cp:revision>19</cp:revision>
  <cp:lastPrinted>2018-10-19T08:25:00Z</cp:lastPrinted>
  <dcterms:created xsi:type="dcterms:W3CDTF">2018-09-25T07:37:00Z</dcterms:created>
  <dcterms:modified xsi:type="dcterms:W3CDTF">2018-10-24T13:33:00Z</dcterms:modified>
</cp:coreProperties>
</file>