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A6FC0" w14:textId="77777777" w:rsidR="00484D07" w:rsidRPr="00C34EE5" w:rsidRDefault="00484D07" w:rsidP="00484D07">
      <w:pPr>
        <w:spacing w:before="1440"/>
        <w:jc w:val="center"/>
        <w:rPr>
          <w:rFonts w:ascii="Arial" w:hAnsi="Arial" w:cs="Arial"/>
          <w:b/>
          <w:sz w:val="22"/>
          <w:szCs w:val="22"/>
        </w:rPr>
      </w:pPr>
      <w:r w:rsidRPr="00C34EE5">
        <w:rPr>
          <w:rFonts w:ascii="Arial" w:hAnsi="Arial"/>
          <w:b/>
          <w:sz w:val="22"/>
        </w:rPr>
        <w:t xml:space="preserve">CONVENTION POUR LA SAUVEGARDE DU </w:t>
      </w:r>
      <w:r w:rsidRPr="00C34EE5">
        <w:rPr>
          <w:rFonts w:ascii="Arial" w:hAnsi="Arial" w:cs="Arial"/>
          <w:b/>
          <w:sz w:val="22"/>
          <w:szCs w:val="22"/>
        </w:rPr>
        <w:br/>
      </w:r>
      <w:r w:rsidRPr="00C34EE5">
        <w:rPr>
          <w:rFonts w:ascii="Arial" w:hAnsi="Arial"/>
          <w:b/>
          <w:sz w:val="22"/>
        </w:rPr>
        <w:t xml:space="preserve">PATRIMOINE </w:t>
      </w:r>
      <w:bookmarkStart w:id="0" w:name="_GoBack"/>
      <w:bookmarkEnd w:id="0"/>
      <w:r w:rsidRPr="00C34EE5">
        <w:rPr>
          <w:rFonts w:ascii="Arial" w:hAnsi="Arial"/>
          <w:b/>
          <w:sz w:val="22"/>
        </w:rPr>
        <w:t>CULTUREL IMMATÉRIEL</w:t>
      </w:r>
    </w:p>
    <w:p w14:paraId="397DFD4E" w14:textId="77777777" w:rsidR="00484D07" w:rsidRPr="00C34EE5" w:rsidRDefault="00484D07" w:rsidP="00484D07">
      <w:pPr>
        <w:spacing w:before="1200"/>
        <w:jc w:val="center"/>
        <w:rPr>
          <w:rFonts w:ascii="Arial" w:hAnsi="Arial" w:cs="Arial"/>
          <w:b/>
          <w:sz w:val="22"/>
          <w:szCs w:val="22"/>
        </w:rPr>
      </w:pPr>
      <w:r w:rsidRPr="00C34EE5">
        <w:rPr>
          <w:rFonts w:ascii="Arial" w:hAnsi="Arial"/>
          <w:b/>
          <w:sz w:val="22"/>
        </w:rPr>
        <w:t>COMITÉ INTERGOUVERNEMENTAL DE</w:t>
      </w:r>
      <w:r w:rsidRPr="00D80C9C">
        <w:rPr>
          <w:rFonts w:ascii="Arial" w:hAnsi="Arial"/>
          <w:b/>
          <w:sz w:val="22"/>
        </w:rPr>
        <w:t xml:space="preserve"> </w:t>
      </w:r>
      <w:r w:rsidRPr="00C34EE5">
        <w:rPr>
          <w:rFonts w:ascii="Arial" w:hAnsi="Arial"/>
          <w:b/>
          <w:sz w:val="22"/>
        </w:rPr>
        <w:t>SAUVEGARDE</w:t>
      </w:r>
      <w:r w:rsidRPr="00C34EE5">
        <w:rPr>
          <w:rFonts w:ascii="Arial" w:hAnsi="Arial" w:cs="Arial"/>
          <w:b/>
          <w:sz w:val="22"/>
          <w:szCs w:val="22"/>
        </w:rPr>
        <w:br/>
      </w:r>
      <w:r w:rsidRPr="00C34EE5">
        <w:rPr>
          <w:rFonts w:ascii="Arial" w:hAnsi="Arial"/>
          <w:b/>
          <w:sz w:val="22"/>
        </w:rPr>
        <w:t>DU PATRIMOINE CULTUREL IMMATÉRIEL</w:t>
      </w:r>
    </w:p>
    <w:p w14:paraId="316B6A09" w14:textId="77777777" w:rsidR="00484D07" w:rsidRPr="00C34EE5" w:rsidRDefault="00484D07" w:rsidP="00484D07">
      <w:pPr>
        <w:spacing w:before="840"/>
        <w:jc w:val="center"/>
        <w:rPr>
          <w:rFonts w:ascii="Arial" w:hAnsi="Arial" w:cs="Arial"/>
          <w:b/>
          <w:sz w:val="22"/>
          <w:szCs w:val="22"/>
        </w:rPr>
      </w:pPr>
      <w:r w:rsidRPr="00C34EE5">
        <w:rPr>
          <w:rFonts w:ascii="Arial" w:eastAsiaTheme="minorEastAsia" w:hAnsi="Arial" w:hint="eastAsia"/>
          <w:b/>
          <w:sz w:val="22"/>
        </w:rPr>
        <w:t>T</w:t>
      </w:r>
      <w:r w:rsidRPr="00C34EE5">
        <w:rPr>
          <w:rFonts w:ascii="Arial" w:eastAsiaTheme="minorEastAsia" w:hAnsi="Arial"/>
          <w:b/>
          <w:sz w:val="22"/>
        </w:rPr>
        <w:t>reizième session</w:t>
      </w:r>
    </w:p>
    <w:p w14:paraId="00CFA6CD" w14:textId="77777777" w:rsidR="00484D07" w:rsidRPr="00C34EE5" w:rsidRDefault="00484D07" w:rsidP="00484D07">
      <w:pPr>
        <w:jc w:val="center"/>
        <w:rPr>
          <w:rFonts w:ascii="Arial" w:eastAsiaTheme="minorEastAsia" w:hAnsi="Arial" w:cs="Arial"/>
          <w:b/>
          <w:sz w:val="22"/>
          <w:szCs w:val="22"/>
        </w:rPr>
      </w:pPr>
      <w:r w:rsidRPr="00C34EE5">
        <w:rPr>
          <w:rFonts w:ascii="Arial" w:eastAsiaTheme="minorEastAsia" w:hAnsi="Arial"/>
          <w:b/>
          <w:sz w:val="22"/>
        </w:rPr>
        <w:t>Port</w:t>
      </w:r>
      <w:r>
        <w:rPr>
          <w:rFonts w:ascii="Arial" w:eastAsiaTheme="minorEastAsia" w:hAnsi="Arial"/>
          <w:b/>
          <w:sz w:val="22"/>
        </w:rPr>
        <w:t>-</w:t>
      </w:r>
      <w:r w:rsidRPr="00C34EE5">
        <w:rPr>
          <w:rFonts w:ascii="Arial" w:eastAsiaTheme="minorEastAsia" w:hAnsi="Arial"/>
          <w:b/>
          <w:sz w:val="22"/>
        </w:rPr>
        <w:t>Louis, République de Maurice</w:t>
      </w:r>
    </w:p>
    <w:p w14:paraId="393EBD8C" w14:textId="77777777" w:rsidR="00484D07" w:rsidRPr="00C34EE5" w:rsidRDefault="00484D07" w:rsidP="00484D07">
      <w:pPr>
        <w:jc w:val="center"/>
        <w:rPr>
          <w:rFonts w:ascii="Arial" w:eastAsiaTheme="minorEastAsia" w:hAnsi="Arial" w:cs="Arial"/>
          <w:b/>
          <w:sz w:val="22"/>
          <w:szCs w:val="22"/>
        </w:rPr>
      </w:pPr>
      <w:r w:rsidRPr="00C34EE5">
        <w:rPr>
          <w:rFonts w:ascii="Arial" w:eastAsiaTheme="minorEastAsia" w:hAnsi="Arial"/>
          <w:b/>
          <w:sz w:val="22"/>
        </w:rPr>
        <w:t>26 novembre – 1</w:t>
      </w:r>
      <w:r w:rsidRPr="00C34EE5">
        <w:rPr>
          <w:rFonts w:ascii="Arial" w:eastAsiaTheme="minorEastAsia" w:hAnsi="Arial"/>
          <w:b/>
          <w:sz w:val="22"/>
          <w:vertAlign w:val="superscript"/>
        </w:rPr>
        <w:t>er</w:t>
      </w:r>
      <w:r w:rsidRPr="00C34EE5">
        <w:rPr>
          <w:rFonts w:ascii="Arial" w:eastAsiaTheme="minorEastAsia" w:hAnsi="Arial"/>
          <w:b/>
          <w:sz w:val="22"/>
        </w:rPr>
        <w:t xml:space="preserve"> décembre 2018</w:t>
      </w:r>
    </w:p>
    <w:p w14:paraId="36FA6ABE" w14:textId="77777777" w:rsidR="00484D07" w:rsidRPr="00C34EE5" w:rsidRDefault="00484D07" w:rsidP="00484D07">
      <w:pPr>
        <w:pStyle w:val="Sansinterligne2"/>
        <w:spacing w:before="1200"/>
        <w:jc w:val="center"/>
        <w:rPr>
          <w:rFonts w:ascii="Arial" w:hAnsi="Arial" w:cs="Arial"/>
          <w:b/>
          <w:sz w:val="22"/>
          <w:szCs w:val="22"/>
        </w:rPr>
      </w:pPr>
      <w:r w:rsidRPr="00C34EE5">
        <w:rPr>
          <w:rFonts w:ascii="Arial" w:hAnsi="Arial"/>
          <w:b/>
          <w:sz w:val="22"/>
          <w:u w:val="single"/>
        </w:rPr>
        <w:t>Point 10.c de l</w:t>
      </w:r>
      <w:r>
        <w:rPr>
          <w:rFonts w:ascii="Arial" w:hAnsi="Arial"/>
          <w:b/>
          <w:sz w:val="22"/>
          <w:u w:val="single"/>
        </w:rPr>
        <w:t>’</w:t>
      </w:r>
      <w:r w:rsidRPr="00C34EE5">
        <w:rPr>
          <w:rFonts w:ascii="Arial" w:hAnsi="Arial"/>
          <w:b/>
          <w:sz w:val="22"/>
          <w:u w:val="single"/>
        </w:rPr>
        <w:t>ordre du jour provisoire</w:t>
      </w:r>
      <w:r w:rsidRPr="002930C4">
        <w:rPr>
          <w:rFonts w:ascii="Arial" w:hAnsi="Arial"/>
          <w:b/>
          <w:sz w:val="22"/>
        </w:rPr>
        <w:t> :</w:t>
      </w:r>
    </w:p>
    <w:p w14:paraId="3FDDD9E2" w14:textId="77777777" w:rsidR="00484D07" w:rsidRPr="00C34EE5" w:rsidRDefault="00484D07" w:rsidP="00484D07">
      <w:pPr>
        <w:pStyle w:val="Sansinterligne2"/>
        <w:spacing w:after="1200"/>
        <w:jc w:val="center"/>
        <w:rPr>
          <w:rFonts w:ascii="Arial" w:hAnsi="Arial" w:cs="Arial"/>
          <w:b/>
          <w:sz w:val="22"/>
          <w:szCs w:val="22"/>
        </w:rPr>
      </w:pPr>
      <w:r w:rsidRPr="00C34EE5">
        <w:rPr>
          <w:rFonts w:ascii="Arial" w:hAnsi="Arial"/>
          <w:b/>
          <w:sz w:val="22"/>
        </w:rPr>
        <w:t>Examen des propositions pour le Registre de bonnes pratiques de sauvegarde</w:t>
      </w:r>
    </w:p>
    <w:p w14:paraId="464708B1" w14:textId="77777777" w:rsidR="00F0430D" w:rsidRPr="00750FA0" w:rsidRDefault="00F0430D" w:rsidP="00F0430D">
      <w:pPr>
        <w:spacing w:before="1440"/>
        <w:jc w:val="center"/>
        <w:rPr>
          <w:rFonts w:ascii="Arial" w:hAnsi="Arial" w:cs="Arial"/>
          <w:b/>
          <w:sz w:val="22"/>
        </w:rPr>
      </w:pPr>
      <w:r w:rsidRPr="00750FA0">
        <w:rPr>
          <w:rFonts w:ascii="Arial" w:hAnsi="Arial" w:cs="Arial"/>
          <w:b/>
          <w:sz w:val="22"/>
        </w:rPr>
        <w:t>ADDENDUM</w:t>
      </w:r>
    </w:p>
    <w:p w14:paraId="2E253EC6" w14:textId="7A3BDDF2" w:rsidR="00F0430D" w:rsidRPr="00750FA0" w:rsidRDefault="007124FD" w:rsidP="00F0430D">
      <w:pPr>
        <w:tabs>
          <w:tab w:val="left" w:pos="567"/>
        </w:tabs>
        <w:snapToGrid w:val="0"/>
        <w:spacing w:before="480" w:after="240"/>
        <w:ind w:left="567"/>
        <w:rPr>
          <w:rFonts w:ascii="Arial" w:hAnsi="Arial" w:cs="Arial"/>
          <w:snapToGrid w:val="0"/>
          <w:sz w:val="22"/>
          <w:lang w:eastAsia="en-US"/>
        </w:rPr>
      </w:pPr>
      <w:r>
        <w:rPr>
          <w:rFonts w:ascii="Arial" w:hAnsi="Arial" w:cs="Arial"/>
          <w:snapToGrid w:val="0"/>
          <w:sz w:val="22"/>
          <w:lang w:eastAsia="en-US"/>
        </w:rPr>
        <w:t>La</w:t>
      </w:r>
      <w:r w:rsidR="00F0430D" w:rsidRPr="00750FA0">
        <w:rPr>
          <w:rFonts w:ascii="Arial" w:hAnsi="Arial" w:cs="Arial"/>
          <w:snapToGrid w:val="0"/>
          <w:sz w:val="22"/>
          <w:lang w:eastAsia="en-US"/>
        </w:rPr>
        <w:t xml:space="preserve"> </w:t>
      </w:r>
      <w:r w:rsidR="00F0430D">
        <w:rPr>
          <w:rFonts w:ascii="Arial" w:hAnsi="Arial" w:cs="Arial"/>
          <w:snapToGrid w:val="0"/>
          <w:sz w:val="22"/>
          <w:lang w:eastAsia="en-US"/>
        </w:rPr>
        <w:t>proposition</w:t>
      </w:r>
      <w:r w:rsidR="00F0430D" w:rsidRPr="00750FA0">
        <w:rPr>
          <w:rFonts w:ascii="Arial" w:hAnsi="Arial" w:cs="Arial"/>
          <w:snapToGrid w:val="0"/>
          <w:sz w:val="22"/>
          <w:lang w:eastAsia="en-US"/>
        </w:rPr>
        <w:t xml:space="preserve"> suivante</w:t>
      </w:r>
      <w:r w:rsidR="00F0430D">
        <w:rPr>
          <w:rFonts w:ascii="Arial" w:hAnsi="Arial" w:cs="Arial"/>
          <w:snapToGrid w:val="0"/>
          <w:sz w:val="22"/>
          <w:lang w:eastAsia="en-US"/>
        </w:rPr>
        <w:t xml:space="preserve"> </w:t>
      </w:r>
      <w:r>
        <w:rPr>
          <w:rFonts w:ascii="Arial" w:hAnsi="Arial" w:cs="Arial"/>
          <w:snapToGrid w:val="0"/>
          <w:sz w:val="22"/>
          <w:lang w:eastAsia="en-US"/>
        </w:rPr>
        <w:t>a</w:t>
      </w:r>
      <w:r w:rsidR="00F0430D" w:rsidRPr="00750FA0">
        <w:rPr>
          <w:rFonts w:ascii="Arial" w:hAnsi="Arial" w:cs="Arial"/>
          <w:snapToGrid w:val="0"/>
          <w:sz w:val="22"/>
          <w:lang w:eastAsia="en-US"/>
        </w:rPr>
        <w:t xml:space="preserve"> été retirée par l</w:t>
      </w:r>
      <w:r>
        <w:rPr>
          <w:rFonts w:ascii="Arial" w:hAnsi="Arial" w:cs="Arial"/>
          <w:snapToGrid w:val="0"/>
          <w:sz w:val="22"/>
          <w:lang w:eastAsia="en-US"/>
        </w:rPr>
        <w:t>’</w:t>
      </w:r>
      <w:r w:rsidR="00F0430D" w:rsidRPr="00750FA0">
        <w:rPr>
          <w:rFonts w:ascii="Arial" w:hAnsi="Arial" w:cs="Arial"/>
          <w:snapToGrid w:val="0"/>
          <w:sz w:val="22"/>
          <w:lang w:eastAsia="en-US"/>
        </w:rPr>
        <w:t>État partie soumissionnaire :</w:t>
      </w:r>
    </w:p>
    <w:tbl>
      <w:tblPr>
        <w:tblW w:w="4692" w:type="pct"/>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621"/>
        <w:gridCol w:w="1863"/>
        <w:gridCol w:w="4572"/>
        <w:gridCol w:w="979"/>
      </w:tblGrid>
      <w:tr w:rsidR="00F0430D" w:rsidRPr="00750FA0" w14:paraId="619CA724" w14:textId="77777777" w:rsidTr="007124FD">
        <w:trPr>
          <w:cantSplit/>
          <w:tblHeader/>
        </w:trPr>
        <w:tc>
          <w:tcPr>
            <w:tcW w:w="897" w:type="pct"/>
            <w:tcBorders>
              <w:right w:val="nil"/>
            </w:tcBorders>
            <w:shd w:val="clear" w:color="auto" w:fill="BFBFBF"/>
            <w:vAlign w:val="center"/>
          </w:tcPr>
          <w:p w14:paraId="735FFF75" w14:textId="77777777" w:rsidR="00F0430D" w:rsidRPr="00750FA0" w:rsidRDefault="00F0430D" w:rsidP="004837EC">
            <w:pPr>
              <w:keepNext/>
              <w:spacing w:before="120" w:after="120"/>
              <w:jc w:val="center"/>
              <w:rPr>
                <w:rFonts w:ascii="Arial" w:hAnsi="Arial" w:cs="Arial"/>
                <w:color w:val="000000"/>
                <w:sz w:val="22"/>
                <w:szCs w:val="22"/>
              </w:rPr>
            </w:pPr>
            <w:r w:rsidRPr="00750FA0">
              <w:rPr>
                <w:rFonts w:ascii="Arial" w:hAnsi="Arial" w:cs="Arial"/>
                <w:b/>
                <w:color w:val="000000"/>
                <w:sz w:val="22"/>
              </w:rPr>
              <w:t>Projet de</w:t>
            </w:r>
            <w:r w:rsidRPr="00750FA0">
              <w:rPr>
                <w:rFonts w:ascii="Arial" w:hAnsi="Arial" w:cs="Arial"/>
                <w:b/>
                <w:bCs/>
                <w:color w:val="000000"/>
                <w:sz w:val="22"/>
                <w:szCs w:val="22"/>
              </w:rPr>
              <w:br/>
            </w:r>
            <w:r w:rsidRPr="00750FA0">
              <w:rPr>
                <w:rFonts w:ascii="Arial" w:hAnsi="Arial" w:cs="Arial"/>
                <w:b/>
                <w:color w:val="000000"/>
                <w:sz w:val="22"/>
              </w:rPr>
              <w:t>décision</w:t>
            </w:r>
          </w:p>
        </w:tc>
        <w:tc>
          <w:tcPr>
            <w:tcW w:w="1031" w:type="pct"/>
            <w:tcBorders>
              <w:left w:val="nil"/>
              <w:right w:val="nil"/>
            </w:tcBorders>
            <w:shd w:val="clear" w:color="auto" w:fill="BFBFBF"/>
            <w:vAlign w:val="center"/>
          </w:tcPr>
          <w:p w14:paraId="44D813BB" w14:textId="77777777" w:rsidR="00F0430D" w:rsidRPr="00750FA0" w:rsidRDefault="00F0430D" w:rsidP="004837EC">
            <w:pPr>
              <w:keepNext/>
              <w:spacing w:before="120" w:after="120"/>
              <w:jc w:val="center"/>
              <w:rPr>
                <w:rFonts w:ascii="Arial" w:hAnsi="Arial" w:cs="Arial"/>
                <w:color w:val="000000"/>
                <w:sz w:val="22"/>
                <w:szCs w:val="22"/>
              </w:rPr>
            </w:pPr>
            <w:r w:rsidRPr="00750FA0">
              <w:rPr>
                <w:rFonts w:ascii="Arial" w:hAnsi="Arial" w:cs="Arial"/>
                <w:b/>
                <w:color w:val="000000"/>
                <w:sz w:val="22"/>
              </w:rPr>
              <w:t>État soumissionnaire</w:t>
            </w:r>
          </w:p>
        </w:tc>
        <w:tc>
          <w:tcPr>
            <w:tcW w:w="2530" w:type="pct"/>
            <w:tcBorders>
              <w:left w:val="nil"/>
              <w:right w:val="nil"/>
            </w:tcBorders>
            <w:shd w:val="clear" w:color="auto" w:fill="BFBFBF"/>
            <w:vAlign w:val="center"/>
          </w:tcPr>
          <w:p w14:paraId="3079B9E3" w14:textId="77777777" w:rsidR="00F0430D" w:rsidRPr="00750FA0" w:rsidRDefault="00F0430D" w:rsidP="004837EC">
            <w:pPr>
              <w:keepNext/>
              <w:spacing w:before="120" w:after="120"/>
              <w:jc w:val="center"/>
              <w:rPr>
                <w:rFonts w:ascii="Arial" w:hAnsi="Arial" w:cs="Arial"/>
                <w:color w:val="000000"/>
                <w:sz w:val="22"/>
                <w:szCs w:val="22"/>
              </w:rPr>
            </w:pPr>
            <w:r w:rsidRPr="00A53D78">
              <w:rPr>
                <w:rFonts w:ascii="Arial" w:hAnsi="Arial" w:cs="Arial"/>
                <w:b/>
                <w:bCs/>
                <w:sz w:val="22"/>
                <w:szCs w:val="22"/>
              </w:rPr>
              <w:t>Proposition</w:t>
            </w:r>
          </w:p>
        </w:tc>
        <w:tc>
          <w:tcPr>
            <w:tcW w:w="542" w:type="pct"/>
            <w:tcBorders>
              <w:left w:val="nil"/>
            </w:tcBorders>
            <w:shd w:val="clear" w:color="auto" w:fill="BFBFBF"/>
            <w:vAlign w:val="center"/>
          </w:tcPr>
          <w:p w14:paraId="48DD01D8" w14:textId="77777777" w:rsidR="00F0430D" w:rsidRPr="00750FA0" w:rsidRDefault="00F0430D" w:rsidP="004837EC">
            <w:pPr>
              <w:keepNext/>
              <w:spacing w:before="120" w:after="120"/>
              <w:jc w:val="center"/>
              <w:rPr>
                <w:rFonts w:ascii="Arial" w:hAnsi="Arial" w:cs="Arial"/>
                <w:color w:val="000000"/>
                <w:sz w:val="22"/>
                <w:szCs w:val="22"/>
              </w:rPr>
            </w:pPr>
            <w:r w:rsidRPr="00750FA0">
              <w:rPr>
                <w:rFonts w:ascii="Arial" w:hAnsi="Arial" w:cs="Arial"/>
                <w:b/>
                <w:color w:val="000000"/>
                <w:sz w:val="22"/>
              </w:rPr>
              <w:t>Dossier n°</w:t>
            </w:r>
          </w:p>
        </w:tc>
      </w:tr>
      <w:tr w:rsidR="007124FD" w:rsidRPr="00750FA0" w14:paraId="12BC66E1" w14:textId="77777777" w:rsidTr="007124FD">
        <w:trPr>
          <w:cantSplit/>
          <w:trHeight w:val="409"/>
        </w:trPr>
        <w:tc>
          <w:tcPr>
            <w:tcW w:w="897" w:type="pct"/>
            <w:tcBorders>
              <w:right w:val="nil"/>
            </w:tcBorders>
          </w:tcPr>
          <w:p w14:paraId="51C4EA97" w14:textId="00FA1881" w:rsidR="007124FD" w:rsidRDefault="007124FD" w:rsidP="007124FD">
            <w:pPr>
              <w:keepNext/>
              <w:spacing w:before="120" w:after="120"/>
              <w:jc w:val="center"/>
            </w:pPr>
            <w:hyperlink w:anchor="Decision_10c1" w:history="1">
              <w:r w:rsidRPr="00C34EE5">
                <w:rPr>
                  <w:rStyle w:val="Hyperlink"/>
                  <w:rFonts w:ascii="Arial" w:hAnsi="Arial"/>
                  <w:sz w:val="22"/>
                </w:rPr>
                <w:t>13.COM 10.c.1</w:t>
              </w:r>
            </w:hyperlink>
          </w:p>
        </w:tc>
        <w:tc>
          <w:tcPr>
            <w:tcW w:w="1031" w:type="pct"/>
            <w:tcBorders>
              <w:left w:val="nil"/>
              <w:right w:val="nil"/>
            </w:tcBorders>
          </w:tcPr>
          <w:p w14:paraId="0A688CE2" w14:textId="06638265" w:rsidR="007124FD" w:rsidRPr="00A53D78" w:rsidRDefault="007124FD" w:rsidP="007124FD">
            <w:pPr>
              <w:keepNext/>
              <w:spacing w:before="120" w:after="120"/>
              <w:jc w:val="center"/>
              <w:rPr>
                <w:rFonts w:ascii="Arial" w:hAnsi="Arial" w:cs="Arial"/>
                <w:sz w:val="22"/>
                <w:szCs w:val="22"/>
              </w:rPr>
            </w:pPr>
            <w:r w:rsidRPr="00C34EE5">
              <w:rPr>
                <w:rFonts w:ascii="Arial" w:hAnsi="Arial"/>
                <w:sz w:val="22"/>
              </w:rPr>
              <w:t>Arabie saoudite</w:t>
            </w:r>
          </w:p>
        </w:tc>
        <w:tc>
          <w:tcPr>
            <w:tcW w:w="2530" w:type="pct"/>
            <w:tcBorders>
              <w:left w:val="nil"/>
              <w:right w:val="nil"/>
            </w:tcBorders>
          </w:tcPr>
          <w:p w14:paraId="67F16E66" w14:textId="102FF64D" w:rsidR="007124FD" w:rsidRPr="00A53D78" w:rsidRDefault="007124FD" w:rsidP="007124FD">
            <w:pPr>
              <w:keepNext/>
              <w:spacing w:before="120" w:after="120"/>
              <w:rPr>
                <w:rFonts w:ascii="Arial" w:hAnsi="Arial" w:cs="Arial"/>
                <w:sz w:val="22"/>
                <w:szCs w:val="22"/>
              </w:rPr>
            </w:pPr>
            <w:r w:rsidRPr="00C34EE5">
              <w:rPr>
                <w:rFonts w:ascii="Arial" w:hAnsi="Arial"/>
                <w:sz w:val="22"/>
              </w:rPr>
              <w:t>Le festival national du patrimoine et de la culture Al-</w:t>
            </w:r>
            <w:proofErr w:type="spellStart"/>
            <w:r w:rsidRPr="00C34EE5">
              <w:rPr>
                <w:rFonts w:ascii="Arial" w:hAnsi="Arial"/>
                <w:sz w:val="22"/>
              </w:rPr>
              <w:t>Janadria</w:t>
            </w:r>
            <w:proofErr w:type="spellEnd"/>
          </w:p>
        </w:tc>
        <w:tc>
          <w:tcPr>
            <w:tcW w:w="542" w:type="pct"/>
            <w:tcBorders>
              <w:left w:val="nil"/>
            </w:tcBorders>
          </w:tcPr>
          <w:p w14:paraId="34253704" w14:textId="327BA0D2" w:rsidR="007124FD" w:rsidRDefault="007124FD" w:rsidP="007124FD">
            <w:pPr>
              <w:keepNext/>
              <w:spacing w:before="120" w:after="120"/>
              <w:jc w:val="center"/>
            </w:pPr>
            <w:hyperlink r:id="rId8" w:anchor="10.c.1">
              <w:r w:rsidRPr="00C34EE5">
                <w:rPr>
                  <w:rStyle w:val="Hyperlink"/>
                  <w:rFonts w:ascii="Arial" w:hAnsi="Arial"/>
                  <w:sz w:val="22"/>
                </w:rPr>
                <w:t>01403</w:t>
              </w:r>
            </w:hyperlink>
          </w:p>
        </w:tc>
      </w:tr>
    </w:tbl>
    <w:p w14:paraId="6F095353" w14:textId="61DF1C4C" w:rsidR="00484D07" w:rsidRDefault="00484D07" w:rsidP="00F0430D">
      <w:pPr>
        <w:jc w:val="center"/>
        <w:rPr>
          <w:rFonts w:ascii="Arial" w:hAnsi="Arial"/>
          <w:b/>
          <w:sz w:val="22"/>
        </w:rPr>
        <w:sectPr w:rsidR="00484D07"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pPr>
    </w:p>
    <w:p w14:paraId="4D42547B" w14:textId="74C21A47" w:rsidR="00EC6F8D" w:rsidRPr="00C34EE5" w:rsidRDefault="00EC6F8D" w:rsidP="00EC6F8D">
      <w:pPr>
        <w:spacing w:before="1440"/>
        <w:jc w:val="center"/>
        <w:rPr>
          <w:rFonts w:ascii="Arial" w:hAnsi="Arial" w:cs="Arial"/>
          <w:b/>
          <w:sz w:val="22"/>
          <w:szCs w:val="22"/>
        </w:rPr>
      </w:pPr>
      <w:r w:rsidRPr="00C34EE5">
        <w:rPr>
          <w:rFonts w:ascii="Arial" w:hAnsi="Arial"/>
          <w:b/>
          <w:sz w:val="22"/>
        </w:rPr>
        <w:t xml:space="preserve">CONVENTION POUR LA SAUVEGARDE DU </w:t>
      </w:r>
      <w:r w:rsidRPr="00C34EE5">
        <w:rPr>
          <w:rFonts w:ascii="Arial" w:hAnsi="Arial" w:cs="Arial"/>
          <w:b/>
          <w:sz w:val="22"/>
          <w:szCs w:val="22"/>
        </w:rPr>
        <w:br/>
      </w:r>
      <w:r w:rsidRPr="00C34EE5">
        <w:rPr>
          <w:rFonts w:ascii="Arial" w:hAnsi="Arial"/>
          <w:b/>
          <w:sz w:val="22"/>
        </w:rPr>
        <w:t>PATRIMOINE CULTUREL IMMATÉRIEL</w:t>
      </w:r>
    </w:p>
    <w:p w14:paraId="04AFC688" w14:textId="1056257E" w:rsidR="00EC6F8D" w:rsidRPr="00C34EE5" w:rsidRDefault="00EC6F8D" w:rsidP="00D80C9C">
      <w:pPr>
        <w:spacing w:before="1200"/>
        <w:jc w:val="center"/>
        <w:rPr>
          <w:rFonts w:ascii="Arial" w:hAnsi="Arial" w:cs="Arial"/>
          <w:b/>
          <w:sz w:val="22"/>
          <w:szCs w:val="22"/>
        </w:rPr>
      </w:pPr>
      <w:r w:rsidRPr="00C34EE5">
        <w:rPr>
          <w:rFonts w:ascii="Arial" w:hAnsi="Arial"/>
          <w:b/>
          <w:sz w:val="22"/>
        </w:rPr>
        <w:t>COMITÉ INTERGOUVERNEMENTAL DE</w:t>
      </w:r>
      <w:r w:rsidR="00D80C9C" w:rsidRPr="00D80C9C">
        <w:rPr>
          <w:rFonts w:ascii="Arial" w:hAnsi="Arial"/>
          <w:b/>
          <w:sz w:val="22"/>
        </w:rPr>
        <w:t xml:space="preserve"> </w:t>
      </w:r>
      <w:r w:rsidR="00D80C9C" w:rsidRPr="00C34EE5">
        <w:rPr>
          <w:rFonts w:ascii="Arial" w:hAnsi="Arial"/>
          <w:b/>
          <w:sz w:val="22"/>
        </w:rPr>
        <w:t>SAUVEGARDE</w:t>
      </w:r>
      <w:r w:rsidRPr="00C34EE5">
        <w:rPr>
          <w:rFonts w:ascii="Arial" w:hAnsi="Arial" w:cs="Arial"/>
          <w:b/>
          <w:sz w:val="22"/>
          <w:szCs w:val="22"/>
        </w:rPr>
        <w:br/>
      </w:r>
      <w:r w:rsidRPr="00C34EE5">
        <w:rPr>
          <w:rFonts w:ascii="Arial" w:hAnsi="Arial"/>
          <w:b/>
          <w:sz w:val="22"/>
        </w:rPr>
        <w:t>DU PATRIMOINE CULTUREL IMMATÉRIEL</w:t>
      </w:r>
    </w:p>
    <w:p w14:paraId="66600CB2" w14:textId="77777777" w:rsidR="00EC6F8D" w:rsidRPr="00C34EE5" w:rsidRDefault="00C7433F" w:rsidP="001D14FE">
      <w:pPr>
        <w:spacing w:before="840"/>
        <w:jc w:val="center"/>
        <w:rPr>
          <w:rFonts w:ascii="Arial" w:hAnsi="Arial" w:cs="Arial"/>
          <w:b/>
          <w:sz w:val="22"/>
          <w:szCs w:val="22"/>
        </w:rPr>
      </w:pPr>
      <w:r w:rsidRPr="00C34EE5">
        <w:rPr>
          <w:rFonts w:ascii="Arial" w:eastAsiaTheme="minorEastAsia" w:hAnsi="Arial" w:hint="eastAsia"/>
          <w:b/>
          <w:sz w:val="22"/>
        </w:rPr>
        <w:t>T</w:t>
      </w:r>
      <w:r w:rsidRPr="00C34EE5">
        <w:rPr>
          <w:rFonts w:ascii="Arial" w:eastAsiaTheme="minorEastAsia" w:hAnsi="Arial"/>
          <w:b/>
          <w:sz w:val="22"/>
        </w:rPr>
        <w:t>reizième session</w:t>
      </w:r>
    </w:p>
    <w:p w14:paraId="0DD3F8D6" w14:textId="227A604C" w:rsidR="009D5428" w:rsidRPr="00C34EE5" w:rsidRDefault="00F66E92" w:rsidP="001D14FE">
      <w:pPr>
        <w:jc w:val="center"/>
        <w:rPr>
          <w:rFonts w:ascii="Arial" w:eastAsiaTheme="minorEastAsia" w:hAnsi="Arial" w:cs="Arial"/>
          <w:b/>
          <w:sz w:val="22"/>
          <w:szCs w:val="22"/>
        </w:rPr>
      </w:pPr>
      <w:r w:rsidRPr="00C34EE5">
        <w:rPr>
          <w:rFonts w:ascii="Arial" w:eastAsiaTheme="minorEastAsia" w:hAnsi="Arial"/>
          <w:b/>
          <w:sz w:val="22"/>
        </w:rPr>
        <w:t>Port</w:t>
      </w:r>
      <w:r>
        <w:rPr>
          <w:rFonts w:ascii="Arial" w:eastAsiaTheme="minorEastAsia" w:hAnsi="Arial"/>
          <w:b/>
          <w:sz w:val="22"/>
        </w:rPr>
        <w:t>-</w:t>
      </w:r>
      <w:r w:rsidR="001D14FE" w:rsidRPr="00C34EE5">
        <w:rPr>
          <w:rFonts w:ascii="Arial" w:eastAsiaTheme="minorEastAsia" w:hAnsi="Arial"/>
          <w:b/>
          <w:sz w:val="22"/>
        </w:rPr>
        <w:t>Louis, République de Maurice</w:t>
      </w:r>
    </w:p>
    <w:p w14:paraId="17FDDA00" w14:textId="77777777" w:rsidR="00EC6F8D" w:rsidRPr="00C34EE5" w:rsidRDefault="001D14FE" w:rsidP="001D14FE">
      <w:pPr>
        <w:jc w:val="center"/>
        <w:rPr>
          <w:rFonts w:ascii="Arial" w:eastAsiaTheme="minorEastAsia" w:hAnsi="Arial" w:cs="Arial"/>
          <w:b/>
          <w:sz w:val="22"/>
          <w:szCs w:val="22"/>
        </w:rPr>
      </w:pPr>
      <w:r w:rsidRPr="00C34EE5">
        <w:rPr>
          <w:rFonts w:ascii="Arial" w:eastAsiaTheme="minorEastAsia" w:hAnsi="Arial"/>
          <w:b/>
          <w:sz w:val="22"/>
        </w:rPr>
        <w:t>26 novembre – 1</w:t>
      </w:r>
      <w:r w:rsidRPr="00C34EE5">
        <w:rPr>
          <w:rFonts w:ascii="Arial" w:eastAsiaTheme="minorEastAsia" w:hAnsi="Arial"/>
          <w:b/>
          <w:sz w:val="22"/>
          <w:vertAlign w:val="superscript"/>
        </w:rPr>
        <w:t>er</w:t>
      </w:r>
      <w:r w:rsidRPr="00C34EE5">
        <w:rPr>
          <w:rFonts w:ascii="Arial" w:eastAsiaTheme="minorEastAsia" w:hAnsi="Arial"/>
          <w:b/>
          <w:sz w:val="22"/>
        </w:rPr>
        <w:t xml:space="preserve"> décembre 2018</w:t>
      </w:r>
    </w:p>
    <w:p w14:paraId="00A0E495" w14:textId="08F4309A" w:rsidR="00EC6F8D" w:rsidRPr="00C34EE5" w:rsidRDefault="00EC6F8D" w:rsidP="00EC6F8D">
      <w:pPr>
        <w:pStyle w:val="Sansinterligne2"/>
        <w:spacing w:before="1200"/>
        <w:jc w:val="center"/>
        <w:rPr>
          <w:rFonts w:ascii="Arial" w:hAnsi="Arial" w:cs="Arial"/>
          <w:b/>
          <w:sz w:val="22"/>
          <w:szCs w:val="22"/>
        </w:rPr>
      </w:pPr>
      <w:r w:rsidRPr="00C34EE5">
        <w:rPr>
          <w:rFonts w:ascii="Arial" w:hAnsi="Arial"/>
          <w:b/>
          <w:sz w:val="22"/>
          <w:u w:val="single"/>
        </w:rPr>
        <w:t>Point 10.c de l</w:t>
      </w:r>
      <w:r w:rsidR="003008A9">
        <w:rPr>
          <w:rFonts w:ascii="Arial" w:hAnsi="Arial"/>
          <w:b/>
          <w:sz w:val="22"/>
          <w:u w:val="single"/>
        </w:rPr>
        <w:t>’</w:t>
      </w:r>
      <w:r w:rsidRPr="00C34EE5">
        <w:rPr>
          <w:rFonts w:ascii="Arial" w:hAnsi="Arial"/>
          <w:b/>
          <w:sz w:val="22"/>
          <w:u w:val="single"/>
        </w:rPr>
        <w:t>ordre du jour provisoire</w:t>
      </w:r>
      <w:r w:rsidRPr="002930C4">
        <w:rPr>
          <w:rFonts w:ascii="Arial" w:hAnsi="Arial"/>
          <w:b/>
          <w:sz w:val="22"/>
        </w:rPr>
        <w:t> :</w:t>
      </w:r>
    </w:p>
    <w:p w14:paraId="376DCC8B" w14:textId="4BCD0253" w:rsidR="00EC6F8D" w:rsidRPr="00C34EE5" w:rsidRDefault="00FD4D37" w:rsidP="00EC6F8D">
      <w:pPr>
        <w:pStyle w:val="Sansinterligne2"/>
        <w:spacing w:after="1200"/>
        <w:jc w:val="center"/>
        <w:rPr>
          <w:rFonts w:ascii="Arial" w:hAnsi="Arial" w:cs="Arial"/>
          <w:b/>
          <w:sz w:val="22"/>
          <w:szCs w:val="22"/>
        </w:rPr>
      </w:pPr>
      <w:r w:rsidRPr="00C34EE5">
        <w:rPr>
          <w:rFonts w:ascii="Arial" w:hAnsi="Arial"/>
          <w:b/>
          <w:sz w:val="22"/>
        </w:rPr>
        <w:t>Examen des propositions pour le Registre de bonnes pratiques de sauvegarde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C34EE5" w14:paraId="110C2559" w14:textId="77777777" w:rsidTr="00EC6F8D">
        <w:trPr>
          <w:jc w:val="center"/>
        </w:trPr>
        <w:tc>
          <w:tcPr>
            <w:tcW w:w="5670" w:type="dxa"/>
            <w:vAlign w:val="center"/>
          </w:tcPr>
          <w:p w14:paraId="0A4CD4FB" w14:textId="77777777" w:rsidR="00EC6F8D" w:rsidRPr="00C34EE5" w:rsidRDefault="00EC6F8D" w:rsidP="00CA56BB">
            <w:pPr>
              <w:pStyle w:val="Sansinterligne1"/>
              <w:spacing w:before="200" w:after="200"/>
              <w:jc w:val="center"/>
              <w:rPr>
                <w:rFonts w:ascii="Arial" w:hAnsi="Arial" w:cs="Arial"/>
                <w:b/>
                <w:sz w:val="22"/>
                <w:szCs w:val="22"/>
              </w:rPr>
            </w:pPr>
            <w:r w:rsidRPr="00C34EE5">
              <w:rPr>
                <w:rFonts w:ascii="Arial" w:hAnsi="Arial"/>
                <w:b/>
                <w:sz w:val="22"/>
              </w:rPr>
              <w:t>Résumé</w:t>
            </w:r>
          </w:p>
          <w:p w14:paraId="40935004" w14:textId="1D88D145" w:rsidR="003950DF" w:rsidRPr="00C34EE5" w:rsidRDefault="003950DF" w:rsidP="003950DF">
            <w:pPr>
              <w:pStyle w:val="Sansinterligne2"/>
              <w:spacing w:before="200" w:after="200"/>
              <w:jc w:val="both"/>
              <w:rPr>
                <w:rFonts w:ascii="Arial" w:hAnsi="Arial" w:cs="Arial"/>
                <w:sz w:val="22"/>
                <w:szCs w:val="22"/>
              </w:rPr>
            </w:pPr>
            <w:r w:rsidRPr="00C34EE5">
              <w:rPr>
                <w:rFonts w:ascii="Arial" w:hAnsi="Arial"/>
                <w:sz w:val="22"/>
              </w:rPr>
              <w:t xml:space="preserve">Le présent document </w:t>
            </w:r>
            <w:r w:rsidR="00F66E92">
              <w:rPr>
                <w:rFonts w:ascii="Arial" w:hAnsi="Arial"/>
                <w:sz w:val="22"/>
              </w:rPr>
              <w:t>comprend</w:t>
            </w:r>
            <w:r w:rsidR="00F66E92" w:rsidRPr="00C34EE5">
              <w:rPr>
                <w:rFonts w:ascii="Arial" w:hAnsi="Arial"/>
                <w:sz w:val="22"/>
              </w:rPr>
              <w:t xml:space="preserve"> </w:t>
            </w:r>
            <w:r w:rsidRPr="00C34EE5">
              <w:rPr>
                <w:rFonts w:ascii="Arial" w:hAnsi="Arial"/>
                <w:sz w:val="22"/>
              </w:rPr>
              <w:t>les recommandations de l</w:t>
            </w:r>
            <w:r w:rsidR="003008A9">
              <w:rPr>
                <w:rFonts w:ascii="Arial" w:hAnsi="Arial"/>
                <w:sz w:val="22"/>
              </w:rPr>
              <w:t>’</w:t>
            </w:r>
            <w:r w:rsidRPr="00C34EE5">
              <w:rPr>
                <w:rFonts w:ascii="Arial" w:hAnsi="Arial"/>
                <w:sz w:val="22"/>
              </w:rPr>
              <w:t>Organe d</w:t>
            </w:r>
            <w:r w:rsidR="003008A9">
              <w:rPr>
                <w:rFonts w:ascii="Arial" w:hAnsi="Arial"/>
                <w:sz w:val="22"/>
              </w:rPr>
              <w:t>’</w:t>
            </w:r>
            <w:r w:rsidRPr="00C34EE5">
              <w:rPr>
                <w:rFonts w:ascii="Arial" w:hAnsi="Arial"/>
                <w:sz w:val="22"/>
              </w:rPr>
              <w:t>évaluation concernant les propositions au Registre de bonnes pratiques de sauvegarde (</w:t>
            </w:r>
            <w:r w:rsidR="00F66E92">
              <w:rPr>
                <w:rFonts w:ascii="Arial" w:hAnsi="Arial"/>
                <w:sz w:val="22"/>
              </w:rPr>
              <w:t>p</w:t>
            </w:r>
            <w:r w:rsidRPr="00C34EE5">
              <w:rPr>
                <w:rFonts w:ascii="Arial" w:hAnsi="Arial"/>
                <w:sz w:val="22"/>
              </w:rPr>
              <w:t>artie A) et un</w:t>
            </w:r>
            <w:r w:rsidR="00F66E92">
              <w:rPr>
                <w:rFonts w:ascii="Arial" w:hAnsi="Arial"/>
                <w:sz w:val="22"/>
              </w:rPr>
              <w:t>e</w:t>
            </w:r>
            <w:r w:rsidRPr="00C34EE5">
              <w:rPr>
                <w:rFonts w:ascii="Arial" w:hAnsi="Arial"/>
                <w:sz w:val="22"/>
              </w:rPr>
              <w:t xml:space="preserve"> </w:t>
            </w:r>
            <w:r w:rsidR="00F66E92">
              <w:rPr>
                <w:rFonts w:ascii="Arial" w:hAnsi="Arial"/>
                <w:sz w:val="22"/>
              </w:rPr>
              <w:t xml:space="preserve">série </w:t>
            </w:r>
            <w:r w:rsidRPr="00C34EE5">
              <w:rPr>
                <w:rFonts w:ascii="Arial" w:hAnsi="Arial"/>
                <w:sz w:val="22"/>
              </w:rPr>
              <w:t xml:space="preserve">de projets de décision </w:t>
            </w:r>
            <w:r w:rsidR="00F66E92">
              <w:rPr>
                <w:rFonts w:ascii="Arial" w:hAnsi="Arial"/>
                <w:sz w:val="22"/>
              </w:rPr>
              <w:t>pour considération par le</w:t>
            </w:r>
            <w:r w:rsidRPr="00C34EE5">
              <w:rPr>
                <w:rFonts w:ascii="Arial" w:hAnsi="Arial"/>
                <w:sz w:val="22"/>
              </w:rPr>
              <w:t xml:space="preserve"> Comité (partie B). Un aperçu des dossiers de 2018 et les méthodes de travail de l</w:t>
            </w:r>
            <w:r w:rsidR="003008A9">
              <w:rPr>
                <w:rFonts w:ascii="Arial" w:hAnsi="Arial"/>
                <w:sz w:val="22"/>
              </w:rPr>
              <w:t>’</w:t>
            </w:r>
            <w:r w:rsidRPr="00C34EE5">
              <w:rPr>
                <w:rFonts w:ascii="Arial" w:hAnsi="Arial"/>
                <w:sz w:val="22"/>
              </w:rPr>
              <w:t>Organe d</w:t>
            </w:r>
            <w:r w:rsidR="003008A9">
              <w:rPr>
                <w:rFonts w:ascii="Arial" w:hAnsi="Arial"/>
                <w:sz w:val="22"/>
              </w:rPr>
              <w:t>’</w:t>
            </w:r>
            <w:r w:rsidRPr="00C34EE5">
              <w:rPr>
                <w:rFonts w:ascii="Arial" w:hAnsi="Arial"/>
                <w:sz w:val="22"/>
              </w:rPr>
              <w:t xml:space="preserve">évaluation sont présentés dans le document </w:t>
            </w:r>
            <w:hyperlink r:id="rId12" w:history="1">
              <w:r w:rsidRPr="00D80C9C">
                <w:rPr>
                  <w:rStyle w:val="Hyperlink"/>
                  <w:rFonts w:ascii="Arial" w:hAnsi="Arial"/>
                  <w:sz w:val="22"/>
                </w:rPr>
                <w:t>ITH/1</w:t>
              </w:r>
              <w:r w:rsidR="00AA2589" w:rsidRPr="00D80C9C">
                <w:rPr>
                  <w:rStyle w:val="Hyperlink"/>
                  <w:rFonts w:ascii="Arial" w:hAnsi="Arial"/>
                  <w:sz w:val="22"/>
                </w:rPr>
                <w:t>8</w:t>
              </w:r>
              <w:r w:rsidRPr="00D80C9C">
                <w:rPr>
                  <w:rStyle w:val="Hyperlink"/>
                  <w:rFonts w:ascii="Arial" w:hAnsi="Arial"/>
                  <w:sz w:val="22"/>
                </w:rPr>
                <w:t>/13.COM/10</w:t>
              </w:r>
            </w:hyperlink>
            <w:r w:rsidRPr="00C34EE5">
              <w:rPr>
                <w:rFonts w:ascii="Arial" w:hAnsi="Arial"/>
                <w:sz w:val="22"/>
              </w:rPr>
              <w:t>.</w:t>
            </w:r>
          </w:p>
          <w:p w14:paraId="6E717115" w14:textId="36840508" w:rsidR="00EC6F8D" w:rsidRPr="00C34EE5" w:rsidRDefault="00EC6F8D" w:rsidP="003950DF">
            <w:pPr>
              <w:pStyle w:val="Sansinterligne2"/>
              <w:spacing w:before="200" w:after="200"/>
              <w:jc w:val="both"/>
              <w:rPr>
                <w:rFonts w:ascii="Arial" w:hAnsi="Arial" w:cs="Arial"/>
                <w:b/>
                <w:sz w:val="22"/>
                <w:szCs w:val="22"/>
              </w:rPr>
            </w:pPr>
            <w:r w:rsidRPr="00C34EE5">
              <w:rPr>
                <w:rFonts w:ascii="Arial" w:hAnsi="Arial"/>
                <w:b/>
                <w:sz w:val="22"/>
              </w:rPr>
              <w:t xml:space="preserve">Décision requise : </w:t>
            </w:r>
            <w:r w:rsidRPr="00C34EE5">
              <w:rPr>
                <w:rFonts w:ascii="Arial" w:hAnsi="Arial"/>
                <w:sz w:val="22"/>
              </w:rPr>
              <w:t>paragraphe 3</w:t>
            </w:r>
          </w:p>
        </w:tc>
      </w:tr>
    </w:tbl>
    <w:p w14:paraId="1A017E68" w14:textId="77777777" w:rsidR="003950DF" w:rsidRPr="00C34EE5" w:rsidRDefault="00655736" w:rsidP="00D80C9C">
      <w:pPr>
        <w:pStyle w:val="NoSpacing1"/>
        <w:keepNext/>
        <w:numPr>
          <w:ilvl w:val="0"/>
          <w:numId w:val="14"/>
        </w:numPr>
        <w:tabs>
          <w:tab w:val="left" w:pos="567"/>
        </w:tabs>
        <w:spacing w:after="240"/>
        <w:ind w:left="567" w:hanging="567"/>
        <w:jc w:val="both"/>
        <w:rPr>
          <w:rFonts w:ascii="Arial" w:hAnsi="Arial" w:cs="Arial"/>
          <w:b/>
        </w:rPr>
      </w:pPr>
      <w:r w:rsidRPr="00C34EE5">
        <w:br w:type="page"/>
      </w:r>
      <w:r w:rsidRPr="00C34EE5">
        <w:rPr>
          <w:rFonts w:ascii="Arial" w:hAnsi="Arial"/>
          <w:b/>
        </w:rPr>
        <w:lastRenderedPageBreak/>
        <w:t>Recommandations</w:t>
      </w:r>
    </w:p>
    <w:p w14:paraId="0D33962C" w14:textId="2D5AD410" w:rsidR="00E445A1" w:rsidRPr="00C34EE5" w:rsidRDefault="00E445A1" w:rsidP="00E445A1">
      <w:pPr>
        <w:pStyle w:val="DocMain"/>
        <w:keepNext/>
        <w:numPr>
          <w:ilvl w:val="0"/>
          <w:numId w:val="9"/>
        </w:numPr>
        <w:tabs>
          <w:tab w:val="left" w:pos="567"/>
        </w:tabs>
        <w:ind w:left="567" w:hanging="567"/>
      </w:pPr>
      <w:bookmarkStart w:id="1" w:name="Recommends_that_the_committee_refer"/>
      <w:bookmarkStart w:id="2" w:name="Recommends_that_the_committee_approve"/>
      <w:bookmarkEnd w:id="1"/>
      <w:bookmarkEnd w:id="2"/>
      <w:r w:rsidRPr="00C34EE5">
        <w:t>L</w:t>
      </w:r>
      <w:r w:rsidR="003008A9">
        <w:t>’</w:t>
      </w:r>
      <w:r w:rsidRPr="00C34EE5">
        <w:t>Organe d</w:t>
      </w:r>
      <w:r w:rsidR="003008A9">
        <w:t>’</w:t>
      </w:r>
      <w:r w:rsidRPr="00C34EE5">
        <w:t>évaluation recommande au Comité de sélectionner le programme suivant</w:t>
      </w:r>
      <w:r w:rsidR="006E0D35" w:rsidRPr="006E0D35">
        <w:t xml:space="preserve"> </w:t>
      </w:r>
      <w:r w:rsidR="006E0D35" w:rsidRPr="00A202A9">
        <w:t>comme reflétant le mieux les principes et les objectifs de la Convention</w:t>
      </w:r>
      <w:r w:rsidRPr="00C34EE5">
        <w:t> :</w:t>
      </w:r>
    </w:p>
    <w:tbl>
      <w:tblPr>
        <w:tblW w:w="4579" w:type="pct"/>
        <w:tblInd w:w="62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681"/>
        <w:gridCol w:w="1943"/>
        <w:gridCol w:w="4075"/>
        <w:gridCol w:w="1118"/>
      </w:tblGrid>
      <w:tr w:rsidR="00E445A1" w:rsidRPr="00C34EE5" w14:paraId="7F606E28" w14:textId="77777777" w:rsidTr="002930C4">
        <w:trPr>
          <w:cantSplit/>
          <w:tblHeader/>
        </w:trPr>
        <w:tc>
          <w:tcPr>
            <w:tcW w:w="953" w:type="pct"/>
            <w:tcBorders>
              <w:top w:val="single" w:sz="4" w:space="0" w:color="auto"/>
              <w:left w:val="single" w:sz="4" w:space="0" w:color="auto"/>
              <w:bottom w:val="single" w:sz="4" w:space="0" w:color="auto"/>
              <w:right w:val="nil"/>
            </w:tcBorders>
            <w:shd w:val="clear" w:color="auto" w:fill="BFBFBF"/>
            <w:vAlign w:val="center"/>
          </w:tcPr>
          <w:p w14:paraId="0F14BE86" w14:textId="04D8A968" w:rsidR="00E445A1" w:rsidRPr="00C34EE5" w:rsidRDefault="00E445A1" w:rsidP="00301734">
            <w:pPr>
              <w:spacing w:before="120" w:after="120"/>
              <w:jc w:val="center"/>
              <w:rPr>
                <w:rFonts w:ascii="Arial" w:hAnsi="Arial" w:cs="Arial"/>
                <w:sz w:val="22"/>
                <w:szCs w:val="22"/>
              </w:rPr>
            </w:pPr>
            <w:r w:rsidRPr="00C34EE5">
              <w:rPr>
                <w:rFonts w:ascii="Arial" w:hAnsi="Arial"/>
                <w:b/>
                <w:sz w:val="22"/>
              </w:rPr>
              <w:t>Projet de décision</w:t>
            </w:r>
          </w:p>
        </w:tc>
        <w:tc>
          <w:tcPr>
            <w:tcW w:w="1102" w:type="pct"/>
            <w:tcBorders>
              <w:top w:val="single" w:sz="4" w:space="0" w:color="auto"/>
              <w:left w:val="nil"/>
              <w:bottom w:val="single" w:sz="4" w:space="0" w:color="auto"/>
              <w:right w:val="nil"/>
            </w:tcBorders>
            <w:shd w:val="clear" w:color="auto" w:fill="BFBFBF"/>
            <w:vAlign w:val="center"/>
          </w:tcPr>
          <w:p w14:paraId="29DDD86C" w14:textId="77777777" w:rsidR="00E445A1" w:rsidRPr="00C34EE5" w:rsidRDefault="00E445A1" w:rsidP="00301734">
            <w:pPr>
              <w:spacing w:before="120" w:after="120"/>
              <w:jc w:val="center"/>
              <w:rPr>
                <w:rFonts w:ascii="Arial" w:hAnsi="Arial" w:cs="Arial"/>
                <w:sz w:val="22"/>
                <w:szCs w:val="22"/>
              </w:rPr>
            </w:pPr>
            <w:r w:rsidRPr="00C34EE5">
              <w:rPr>
                <w:rFonts w:ascii="Arial" w:hAnsi="Arial"/>
                <w:b/>
                <w:sz w:val="22"/>
              </w:rPr>
              <w:t>État soumissionnaire</w:t>
            </w:r>
          </w:p>
        </w:tc>
        <w:tc>
          <w:tcPr>
            <w:tcW w:w="2311" w:type="pct"/>
            <w:tcBorders>
              <w:top w:val="single" w:sz="4" w:space="0" w:color="auto"/>
              <w:left w:val="nil"/>
              <w:bottom w:val="single" w:sz="4" w:space="0" w:color="auto"/>
              <w:right w:val="nil"/>
            </w:tcBorders>
            <w:shd w:val="clear" w:color="auto" w:fill="BFBFBF"/>
            <w:vAlign w:val="center"/>
          </w:tcPr>
          <w:p w14:paraId="3EC4747C" w14:textId="77777777" w:rsidR="00E445A1" w:rsidRPr="00C34EE5" w:rsidRDefault="00E445A1" w:rsidP="00301734">
            <w:pPr>
              <w:spacing w:before="120" w:after="120"/>
              <w:jc w:val="center"/>
              <w:rPr>
                <w:rFonts w:ascii="Arial" w:hAnsi="Arial" w:cs="Arial"/>
                <w:sz w:val="22"/>
                <w:szCs w:val="22"/>
              </w:rPr>
            </w:pPr>
            <w:r w:rsidRPr="00C34EE5">
              <w:rPr>
                <w:rFonts w:ascii="Arial" w:hAnsi="Arial"/>
                <w:b/>
                <w:sz w:val="22"/>
              </w:rPr>
              <w:t>Proposition</w:t>
            </w:r>
          </w:p>
        </w:tc>
        <w:tc>
          <w:tcPr>
            <w:tcW w:w="634" w:type="pct"/>
            <w:tcBorders>
              <w:top w:val="single" w:sz="4" w:space="0" w:color="auto"/>
              <w:left w:val="nil"/>
              <w:bottom w:val="single" w:sz="4" w:space="0" w:color="auto"/>
              <w:right w:val="single" w:sz="4" w:space="0" w:color="auto"/>
            </w:tcBorders>
            <w:shd w:val="clear" w:color="auto" w:fill="BFBFBF"/>
            <w:vAlign w:val="center"/>
          </w:tcPr>
          <w:p w14:paraId="11B59D4E" w14:textId="206E176A" w:rsidR="00E445A1" w:rsidRPr="00C34EE5" w:rsidRDefault="00E445A1">
            <w:pPr>
              <w:spacing w:before="120" w:after="120"/>
              <w:jc w:val="center"/>
              <w:rPr>
                <w:rFonts w:ascii="Arial" w:hAnsi="Arial" w:cs="Arial"/>
                <w:sz w:val="22"/>
                <w:szCs w:val="22"/>
              </w:rPr>
            </w:pPr>
            <w:r w:rsidRPr="00C34EE5">
              <w:rPr>
                <w:rFonts w:ascii="Arial" w:hAnsi="Arial"/>
                <w:b/>
                <w:sz w:val="22"/>
              </w:rPr>
              <w:t>Dossier n°</w:t>
            </w:r>
          </w:p>
        </w:tc>
      </w:tr>
      <w:tr w:rsidR="00E445A1" w:rsidRPr="00C34EE5" w14:paraId="761A25E1" w14:textId="77777777" w:rsidTr="002930C4">
        <w:trPr>
          <w:cantSplit/>
        </w:trPr>
        <w:tc>
          <w:tcPr>
            <w:tcW w:w="953" w:type="pct"/>
            <w:tcBorders>
              <w:top w:val="single" w:sz="4" w:space="0" w:color="auto"/>
              <w:left w:val="single" w:sz="4" w:space="0" w:color="auto"/>
              <w:bottom w:val="single" w:sz="4" w:space="0" w:color="auto"/>
              <w:right w:val="nil"/>
            </w:tcBorders>
          </w:tcPr>
          <w:p w14:paraId="316EF6E8" w14:textId="1E919E55" w:rsidR="00E445A1" w:rsidRPr="00C34EE5" w:rsidRDefault="00C17340">
            <w:pPr>
              <w:spacing w:before="120" w:after="120"/>
              <w:jc w:val="center"/>
              <w:rPr>
                <w:rFonts w:ascii="Arial" w:hAnsi="Arial" w:cs="Arial"/>
                <w:bCs/>
                <w:sz w:val="22"/>
                <w:szCs w:val="22"/>
              </w:rPr>
            </w:pPr>
            <w:hyperlink w:anchor="Decision_10c2" w:history="1">
              <w:r w:rsidR="00373B56" w:rsidRPr="00C34EE5">
                <w:rPr>
                  <w:rStyle w:val="Hyperlink"/>
                  <w:rFonts w:ascii="Arial" w:hAnsi="Arial"/>
                  <w:sz w:val="22"/>
                </w:rPr>
                <w:t>13.COM 10.c.2</w:t>
              </w:r>
            </w:hyperlink>
          </w:p>
        </w:tc>
        <w:tc>
          <w:tcPr>
            <w:tcW w:w="1102" w:type="pct"/>
            <w:tcBorders>
              <w:top w:val="single" w:sz="4" w:space="0" w:color="auto"/>
              <w:left w:val="nil"/>
              <w:bottom w:val="single" w:sz="4" w:space="0" w:color="auto"/>
              <w:right w:val="nil"/>
            </w:tcBorders>
          </w:tcPr>
          <w:p w14:paraId="0902FE39" w14:textId="5120F631" w:rsidR="00E445A1" w:rsidRPr="00C34EE5" w:rsidRDefault="00E445A1" w:rsidP="00301734">
            <w:pPr>
              <w:spacing w:before="120" w:after="120"/>
              <w:jc w:val="center"/>
              <w:rPr>
                <w:rFonts w:ascii="Arial" w:hAnsi="Arial" w:cs="Arial"/>
                <w:sz w:val="22"/>
                <w:szCs w:val="22"/>
              </w:rPr>
            </w:pPr>
            <w:r w:rsidRPr="00C34EE5">
              <w:rPr>
                <w:rFonts w:ascii="Arial" w:hAnsi="Arial"/>
                <w:sz w:val="22"/>
              </w:rPr>
              <w:t>Suède</w:t>
            </w:r>
          </w:p>
        </w:tc>
        <w:tc>
          <w:tcPr>
            <w:tcW w:w="2311" w:type="pct"/>
            <w:tcBorders>
              <w:top w:val="single" w:sz="4" w:space="0" w:color="auto"/>
              <w:left w:val="nil"/>
              <w:bottom w:val="single" w:sz="4" w:space="0" w:color="auto"/>
              <w:right w:val="nil"/>
            </w:tcBorders>
          </w:tcPr>
          <w:p w14:paraId="52DF7F50" w14:textId="1B7689EF" w:rsidR="00E445A1" w:rsidRPr="00C34EE5" w:rsidRDefault="0092356F" w:rsidP="00301734">
            <w:pPr>
              <w:spacing w:before="120" w:after="120"/>
              <w:rPr>
                <w:rFonts w:ascii="Arial" w:hAnsi="Arial" w:cs="Arial"/>
                <w:sz w:val="22"/>
                <w:szCs w:val="22"/>
              </w:rPr>
            </w:pPr>
            <w:r w:rsidRPr="00C34EE5">
              <w:rPr>
                <w:rFonts w:ascii="Arial" w:hAnsi="Arial"/>
                <w:sz w:val="22"/>
              </w:rPr>
              <w:t>Le programme « Terre des légendes » pour promouvoir et redynamiser l</w:t>
            </w:r>
            <w:r w:rsidR="003008A9">
              <w:rPr>
                <w:rFonts w:ascii="Arial" w:hAnsi="Arial"/>
                <w:sz w:val="22"/>
              </w:rPr>
              <w:t>’</w:t>
            </w:r>
            <w:r w:rsidRPr="00C34EE5">
              <w:rPr>
                <w:rFonts w:ascii="Arial" w:hAnsi="Arial"/>
                <w:sz w:val="22"/>
              </w:rPr>
              <w:t>art du conte dans le comté de Kronoberg (sud de la Suède)</w:t>
            </w:r>
          </w:p>
        </w:tc>
        <w:tc>
          <w:tcPr>
            <w:tcW w:w="634" w:type="pct"/>
            <w:tcBorders>
              <w:top w:val="single" w:sz="4" w:space="0" w:color="auto"/>
              <w:left w:val="nil"/>
              <w:bottom w:val="single" w:sz="4" w:space="0" w:color="auto"/>
              <w:right w:val="single" w:sz="4" w:space="0" w:color="auto"/>
            </w:tcBorders>
          </w:tcPr>
          <w:p w14:paraId="6323F927" w14:textId="1086417B" w:rsidR="00E445A1" w:rsidRPr="00C34EE5" w:rsidRDefault="00C17340" w:rsidP="0092356F">
            <w:pPr>
              <w:spacing w:before="120" w:after="120"/>
              <w:jc w:val="center"/>
              <w:rPr>
                <w:rFonts w:ascii="Arial" w:hAnsi="Arial" w:cs="Arial"/>
                <w:sz w:val="22"/>
                <w:szCs w:val="22"/>
              </w:rPr>
            </w:pPr>
            <w:hyperlink r:id="rId13" w:anchor="10.c.2">
              <w:r w:rsidR="00373B56" w:rsidRPr="00C34EE5">
                <w:rPr>
                  <w:rStyle w:val="Hyperlink"/>
                  <w:rFonts w:ascii="Arial" w:hAnsi="Arial"/>
                  <w:sz w:val="22"/>
                </w:rPr>
                <w:t>01392</w:t>
              </w:r>
            </w:hyperlink>
          </w:p>
        </w:tc>
      </w:tr>
    </w:tbl>
    <w:p w14:paraId="20860C7F" w14:textId="14770FD3" w:rsidR="00E445A1" w:rsidRPr="00C34EE5" w:rsidRDefault="00E445A1" w:rsidP="00E445A1">
      <w:pPr>
        <w:pStyle w:val="DocMain"/>
        <w:keepNext/>
        <w:numPr>
          <w:ilvl w:val="0"/>
          <w:numId w:val="9"/>
        </w:numPr>
        <w:tabs>
          <w:tab w:val="left" w:pos="567"/>
        </w:tabs>
        <w:ind w:left="567" w:hanging="567"/>
      </w:pPr>
      <w:bookmarkStart w:id="3" w:name="Recommends_not_to_select"/>
      <w:bookmarkEnd w:id="3"/>
      <w:r w:rsidRPr="00C34EE5">
        <w:t>L</w:t>
      </w:r>
      <w:r w:rsidR="003008A9">
        <w:t>’</w:t>
      </w:r>
      <w:r w:rsidRPr="00C34EE5">
        <w:t>Organe d</w:t>
      </w:r>
      <w:r w:rsidR="003008A9">
        <w:t>’</w:t>
      </w:r>
      <w:r w:rsidRPr="00C34EE5">
        <w:t>évaluation recommande au Comité de ne pas sélectionner le programme suivant pour le moment :</w:t>
      </w:r>
    </w:p>
    <w:tbl>
      <w:tblPr>
        <w:tblW w:w="4579" w:type="pct"/>
        <w:tblInd w:w="62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681"/>
        <w:gridCol w:w="1943"/>
        <w:gridCol w:w="4075"/>
        <w:gridCol w:w="1118"/>
      </w:tblGrid>
      <w:tr w:rsidR="00E445A1" w:rsidRPr="00C34EE5" w14:paraId="7DFBC56D" w14:textId="77777777" w:rsidTr="002930C4">
        <w:trPr>
          <w:cantSplit/>
          <w:tblHeader/>
        </w:trPr>
        <w:tc>
          <w:tcPr>
            <w:tcW w:w="953" w:type="pct"/>
            <w:tcBorders>
              <w:top w:val="single" w:sz="4" w:space="0" w:color="auto"/>
              <w:left w:val="single" w:sz="4" w:space="0" w:color="auto"/>
              <w:bottom w:val="single" w:sz="4" w:space="0" w:color="auto"/>
              <w:right w:val="nil"/>
            </w:tcBorders>
            <w:shd w:val="clear" w:color="auto" w:fill="BFBFBF"/>
            <w:vAlign w:val="center"/>
          </w:tcPr>
          <w:p w14:paraId="519A1FA1" w14:textId="77777777" w:rsidR="00E445A1" w:rsidRPr="00C34EE5" w:rsidRDefault="00E445A1" w:rsidP="00301734">
            <w:pPr>
              <w:spacing w:before="120" w:after="120"/>
              <w:jc w:val="center"/>
              <w:rPr>
                <w:rFonts w:ascii="Arial" w:hAnsi="Arial" w:cs="Arial"/>
                <w:sz w:val="22"/>
                <w:szCs w:val="22"/>
              </w:rPr>
            </w:pPr>
            <w:r w:rsidRPr="00C34EE5">
              <w:rPr>
                <w:rFonts w:ascii="Arial" w:hAnsi="Arial"/>
                <w:b/>
                <w:sz w:val="22"/>
              </w:rPr>
              <w:t>Projet de décision</w:t>
            </w:r>
          </w:p>
        </w:tc>
        <w:tc>
          <w:tcPr>
            <w:tcW w:w="1102" w:type="pct"/>
            <w:tcBorders>
              <w:top w:val="single" w:sz="4" w:space="0" w:color="auto"/>
              <w:left w:val="nil"/>
              <w:bottom w:val="single" w:sz="4" w:space="0" w:color="auto"/>
              <w:right w:val="nil"/>
            </w:tcBorders>
            <w:shd w:val="clear" w:color="auto" w:fill="BFBFBF"/>
            <w:vAlign w:val="center"/>
          </w:tcPr>
          <w:p w14:paraId="20BC45DF" w14:textId="77777777" w:rsidR="00E445A1" w:rsidRPr="00C34EE5" w:rsidRDefault="00E445A1" w:rsidP="00301734">
            <w:pPr>
              <w:spacing w:before="120" w:after="120"/>
              <w:jc w:val="center"/>
              <w:rPr>
                <w:rFonts w:ascii="Arial" w:hAnsi="Arial" w:cs="Arial"/>
                <w:sz w:val="22"/>
                <w:szCs w:val="22"/>
              </w:rPr>
            </w:pPr>
            <w:r w:rsidRPr="00C34EE5">
              <w:rPr>
                <w:rFonts w:ascii="Arial" w:hAnsi="Arial"/>
                <w:b/>
                <w:sz w:val="22"/>
              </w:rPr>
              <w:t>État soumissionnaire</w:t>
            </w:r>
          </w:p>
        </w:tc>
        <w:tc>
          <w:tcPr>
            <w:tcW w:w="2311" w:type="pct"/>
            <w:tcBorders>
              <w:top w:val="single" w:sz="4" w:space="0" w:color="auto"/>
              <w:left w:val="nil"/>
              <w:bottom w:val="single" w:sz="4" w:space="0" w:color="auto"/>
              <w:right w:val="nil"/>
            </w:tcBorders>
            <w:shd w:val="clear" w:color="auto" w:fill="BFBFBF"/>
            <w:vAlign w:val="center"/>
          </w:tcPr>
          <w:p w14:paraId="71D14271" w14:textId="77777777" w:rsidR="00E445A1" w:rsidRPr="00C34EE5" w:rsidRDefault="00E445A1" w:rsidP="00301734">
            <w:pPr>
              <w:spacing w:before="120" w:after="120"/>
              <w:jc w:val="center"/>
              <w:rPr>
                <w:rFonts w:ascii="Arial" w:hAnsi="Arial" w:cs="Arial"/>
                <w:sz w:val="22"/>
                <w:szCs w:val="22"/>
              </w:rPr>
            </w:pPr>
            <w:r w:rsidRPr="00C34EE5">
              <w:rPr>
                <w:rFonts w:ascii="Arial" w:hAnsi="Arial"/>
                <w:b/>
                <w:sz w:val="22"/>
              </w:rPr>
              <w:t>Proposition</w:t>
            </w:r>
          </w:p>
        </w:tc>
        <w:tc>
          <w:tcPr>
            <w:tcW w:w="634" w:type="pct"/>
            <w:tcBorders>
              <w:top w:val="single" w:sz="4" w:space="0" w:color="auto"/>
              <w:left w:val="nil"/>
              <w:bottom w:val="single" w:sz="4" w:space="0" w:color="auto"/>
              <w:right w:val="single" w:sz="4" w:space="0" w:color="auto"/>
            </w:tcBorders>
            <w:shd w:val="clear" w:color="auto" w:fill="BFBFBF"/>
            <w:vAlign w:val="center"/>
          </w:tcPr>
          <w:p w14:paraId="03EEDF5E" w14:textId="3A850990" w:rsidR="00E445A1" w:rsidRPr="00C34EE5" w:rsidRDefault="00E445A1">
            <w:pPr>
              <w:spacing w:before="120" w:after="120"/>
              <w:jc w:val="center"/>
              <w:rPr>
                <w:rFonts w:ascii="Arial" w:hAnsi="Arial" w:cs="Arial"/>
                <w:sz w:val="22"/>
                <w:szCs w:val="22"/>
              </w:rPr>
            </w:pPr>
            <w:r w:rsidRPr="00C34EE5">
              <w:rPr>
                <w:rFonts w:ascii="Arial" w:hAnsi="Arial"/>
                <w:b/>
                <w:sz w:val="22"/>
              </w:rPr>
              <w:t>Dossier n°</w:t>
            </w:r>
          </w:p>
        </w:tc>
      </w:tr>
      <w:tr w:rsidR="00E445A1" w:rsidRPr="00C34EE5" w14:paraId="7EBD6E97" w14:textId="77777777" w:rsidTr="002930C4">
        <w:trPr>
          <w:cantSplit/>
        </w:trPr>
        <w:tc>
          <w:tcPr>
            <w:tcW w:w="953" w:type="pct"/>
            <w:tcBorders>
              <w:top w:val="single" w:sz="4" w:space="0" w:color="auto"/>
              <w:left w:val="single" w:sz="4" w:space="0" w:color="auto"/>
              <w:bottom w:val="single" w:sz="4" w:space="0" w:color="auto"/>
              <w:right w:val="nil"/>
            </w:tcBorders>
          </w:tcPr>
          <w:p w14:paraId="3ED1F436" w14:textId="2276D0D4" w:rsidR="00E445A1" w:rsidRPr="00C34EE5" w:rsidRDefault="00C17340" w:rsidP="00301734">
            <w:pPr>
              <w:spacing w:before="120" w:after="120"/>
              <w:jc w:val="center"/>
              <w:rPr>
                <w:rFonts w:ascii="Arial" w:hAnsi="Arial" w:cs="Arial"/>
                <w:bCs/>
                <w:sz w:val="22"/>
                <w:szCs w:val="22"/>
              </w:rPr>
            </w:pPr>
            <w:hyperlink w:anchor="Decision_10c1" w:history="1">
              <w:r w:rsidR="00373B56" w:rsidRPr="00C34EE5">
                <w:rPr>
                  <w:rStyle w:val="Hyperlink"/>
                  <w:rFonts w:ascii="Arial" w:hAnsi="Arial"/>
                  <w:sz w:val="22"/>
                </w:rPr>
                <w:t>13.COM 10.c.1</w:t>
              </w:r>
            </w:hyperlink>
          </w:p>
        </w:tc>
        <w:tc>
          <w:tcPr>
            <w:tcW w:w="1102" w:type="pct"/>
            <w:tcBorders>
              <w:top w:val="single" w:sz="4" w:space="0" w:color="auto"/>
              <w:left w:val="nil"/>
              <w:bottom w:val="single" w:sz="4" w:space="0" w:color="auto"/>
              <w:right w:val="nil"/>
            </w:tcBorders>
          </w:tcPr>
          <w:p w14:paraId="1792A126" w14:textId="4AE67CE8" w:rsidR="00E445A1" w:rsidRPr="00C34EE5" w:rsidRDefault="00E445A1" w:rsidP="00301734">
            <w:pPr>
              <w:spacing w:before="120" w:after="120"/>
              <w:jc w:val="center"/>
              <w:rPr>
                <w:rFonts w:ascii="Arial" w:hAnsi="Arial" w:cs="Arial"/>
                <w:sz w:val="22"/>
                <w:szCs w:val="22"/>
              </w:rPr>
            </w:pPr>
            <w:r w:rsidRPr="00C34EE5">
              <w:rPr>
                <w:rFonts w:ascii="Arial" w:hAnsi="Arial"/>
                <w:sz w:val="22"/>
              </w:rPr>
              <w:t>Arabie saoudite</w:t>
            </w:r>
          </w:p>
        </w:tc>
        <w:tc>
          <w:tcPr>
            <w:tcW w:w="2311" w:type="pct"/>
            <w:tcBorders>
              <w:top w:val="single" w:sz="4" w:space="0" w:color="auto"/>
              <w:left w:val="nil"/>
              <w:bottom w:val="single" w:sz="4" w:space="0" w:color="auto"/>
              <w:right w:val="nil"/>
            </w:tcBorders>
          </w:tcPr>
          <w:p w14:paraId="6F3CE700" w14:textId="2C2AB78F" w:rsidR="00E445A1" w:rsidRPr="00C34EE5" w:rsidRDefault="0092356F" w:rsidP="00301734">
            <w:pPr>
              <w:spacing w:before="120" w:after="120"/>
              <w:rPr>
                <w:rFonts w:ascii="Arial" w:hAnsi="Arial" w:cs="Arial"/>
                <w:sz w:val="22"/>
                <w:szCs w:val="22"/>
              </w:rPr>
            </w:pPr>
            <w:r w:rsidRPr="00C34EE5">
              <w:rPr>
                <w:rFonts w:ascii="Arial" w:hAnsi="Arial"/>
                <w:sz w:val="22"/>
              </w:rPr>
              <w:t>Le festival national du patrimoine et de la culture Al-</w:t>
            </w:r>
            <w:proofErr w:type="spellStart"/>
            <w:r w:rsidRPr="00C34EE5">
              <w:rPr>
                <w:rFonts w:ascii="Arial" w:hAnsi="Arial"/>
                <w:sz w:val="22"/>
              </w:rPr>
              <w:t>Janadria</w:t>
            </w:r>
            <w:proofErr w:type="spellEnd"/>
          </w:p>
        </w:tc>
        <w:tc>
          <w:tcPr>
            <w:tcW w:w="634" w:type="pct"/>
            <w:tcBorders>
              <w:top w:val="single" w:sz="4" w:space="0" w:color="auto"/>
              <w:left w:val="nil"/>
              <w:bottom w:val="single" w:sz="4" w:space="0" w:color="auto"/>
              <w:right w:val="single" w:sz="4" w:space="0" w:color="auto"/>
            </w:tcBorders>
          </w:tcPr>
          <w:p w14:paraId="0E76CDAF" w14:textId="098AD318" w:rsidR="00E445A1" w:rsidRPr="00C34EE5" w:rsidRDefault="00C17340" w:rsidP="0092356F">
            <w:pPr>
              <w:spacing w:before="120" w:after="120"/>
              <w:jc w:val="center"/>
              <w:rPr>
                <w:rFonts w:ascii="Arial" w:hAnsi="Arial" w:cs="Arial"/>
                <w:sz w:val="22"/>
                <w:szCs w:val="22"/>
              </w:rPr>
            </w:pPr>
            <w:hyperlink r:id="rId14" w:anchor="10.c.1">
              <w:r w:rsidR="00373B56" w:rsidRPr="00C34EE5">
                <w:rPr>
                  <w:rStyle w:val="Hyperlink"/>
                  <w:rFonts w:ascii="Arial" w:hAnsi="Arial"/>
                  <w:sz w:val="22"/>
                </w:rPr>
                <w:t>01403</w:t>
              </w:r>
            </w:hyperlink>
          </w:p>
        </w:tc>
      </w:tr>
    </w:tbl>
    <w:p w14:paraId="207ADAD0" w14:textId="1CCC9ACD" w:rsidR="003950DF" w:rsidRPr="00C34EE5" w:rsidRDefault="003950DF" w:rsidP="00D80C9C">
      <w:pPr>
        <w:pStyle w:val="NoSpacing1"/>
        <w:keepNext/>
        <w:numPr>
          <w:ilvl w:val="0"/>
          <w:numId w:val="14"/>
        </w:numPr>
        <w:tabs>
          <w:tab w:val="left" w:pos="567"/>
        </w:tabs>
        <w:spacing w:before="360" w:after="240"/>
        <w:ind w:left="567" w:hanging="567"/>
        <w:jc w:val="both"/>
        <w:rPr>
          <w:rFonts w:ascii="Arial" w:hAnsi="Arial" w:cs="Arial"/>
          <w:b/>
        </w:rPr>
      </w:pPr>
      <w:r w:rsidRPr="00C34EE5">
        <w:rPr>
          <w:rFonts w:ascii="Arial" w:hAnsi="Arial"/>
          <w:b/>
        </w:rPr>
        <w:t>Projets de décision</w:t>
      </w:r>
    </w:p>
    <w:p w14:paraId="24292220" w14:textId="77777777" w:rsidR="003950DF" w:rsidRPr="00C34EE5" w:rsidRDefault="003950DF" w:rsidP="003950DF">
      <w:pPr>
        <w:pStyle w:val="DocMain"/>
        <w:keepNext/>
        <w:numPr>
          <w:ilvl w:val="0"/>
          <w:numId w:val="9"/>
        </w:numPr>
        <w:tabs>
          <w:tab w:val="left" w:pos="567"/>
        </w:tabs>
        <w:ind w:left="567" w:hanging="567"/>
      </w:pPr>
      <w:bookmarkStart w:id="4" w:name="_DRAFT_DECISION_10.COM"/>
      <w:bookmarkEnd w:id="4"/>
      <w:r w:rsidRPr="00C34EE5">
        <w:t>Le Comité souhaitera peut-être adopter les décisions suivantes :</w:t>
      </w:r>
    </w:p>
    <w:p w14:paraId="590EE0D1" w14:textId="403B7001" w:rsidR="00FD4D37" w:rsidRPr="00C34EE5" w:rsidRDefault="00373B56" w:rsidP="002930C4">
      <w:pPr>
        <w:pStyle w:val="Heading1"/>
        <w:spacing w:before="360" w:after="120"/>
        <w:ind w:firstLine="567"/>
        <w:rPr>
          <w:rFonts w:ascii="Arial" w:eastAsia="SimSun" w:hAnsi="Arial" w:cs="Angsana New"/>
          <w:b/>
          <w:color w:val="auto"/>
          <w:sz w:val="22"/>
        </w:rPr>
      </w:pPr>
      <w:bookmarkStart w:id="5" w:name="Decision_10c1"/>
      <w:bookmarkEnd w:id="5"/>
      <w:r w:rsidRPr="00C34EE5">
        <w:rPr>
          <w:rFonts w:ascii="Arial" w:hAnsi="Arial"/>
          <w:b/>
          <w:color w:val="auto"/>
          <w:sz w:val="22"/>
        </w:rPr>
        <w:t>PROJET DE DÉCISION 13.COM 10.c.1</w:t>
      </w:r>
      <w:r w:rsidRPr="00C34EE5">
        <w:tab/>
      </w:r>
      <w:r w:rsidRPr="00C34EE5">
        <w:rPr>
          <w:rFonts w:ascii="Arial" w:hAnsi="Arial" w:cs="Arial"/>
          <w:noProof/>
          <w:color w:val="0000FF"/>
          <w:sz w:val="22"/>
          <w:szCs w:val="22"/>
          <w:lang w:val="en-US" w:eastAsia="en-US" w:bidi="ar-SA"/>
        </w:rPr>
        <w:drawing>
          <wp:inline distT="0" distB="0" distL="0" distR="0" wp14:anchorId="2F5B3261" wp14:editId="54C32E91">
            <wp:extent cx="104775" cy="104775"/>
            <wp:effectExtent l="0" t="0" r="9525" b="9525"/>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AD39ECC" w14:textId="3EEEB821" w:rsidR="00FD4D37" w:rsidRPr="00C34EE5" w:rsidRDefault="00373B56" w:rsidP="00FD4D37">
      <w:pPr>
        <w:keepNext/>
        <w:tabs>
          <w:tab w:val="left" w:pos="567"/>
          <w:tab w:val="left" w:pos="1134"/>
          <w:tab w:val="left" w:pos="1701"/>
          <w:tab w:val="left" w:pos="2268"/>
        </w:tabs>
        <w:spacing w:before="120" w:after="120"/>
        <w:ind w:left="1134" w:hanging="567"/>
        <w:jc w:val="both"/>
        <w:rPr>
          <w:rFonts w:ascii="Arial" w:eastAsia="SimSun" w:hAnsi="Arial" w:cs="Arial"/>
          <w:sz w:val="22"/>
          <w:szCs w:val="22"/>
        </w:rPr>
      </w:pPr>
      <w:r w:rsidRPr="00C34EE5">
        <w:rPr>
          <w:rFonts w:ascii="Arial" w:hAnsi="Arial"/>
          <w:sz w:val="22"/>
        </w:rPr>
        <w:t>Le Comité</w:t>
      </w:r>
    </w:p>
    <w:p w14:paraId="45026B9E" w14:textId="705B7ADE" w:rsidR="00373B56" w:rsidRPr="00C34EE5" w:rsidRDefault="00373B56" w:rsidP="00373B56">
      <w:pPr>
        <w:numPr>
          <w:ilvl w:val="0"/>
          <w:numId w:val="13"/>
        </w:numPr>
        <w:tabs>
          <w:tab w:val="left" w:pos="1134"/>
          <w:tab w:val="left" w:pos="1701"/>
          <w:tab w:val="left" w:pos="2268"/>
        </w:tabs>
        <w:spacing w:before="120" w:after="120"/>
        <w:ind w:left="1134" w:hanging="567"/>
        <w:jc w:val="both"/>
        <w:rPr>
          <w:rFonts w:ascii="Arial" w:hAnsi="Arial" w:cs="Arial"/>
          <w:sz w:val="22"/>
          <w:szCs w:val="22"/>
        </w:rPr>
      </w:pPr>
      <w:r w:rsidRPr="00C34EE5">
        <w:rPr>
          <w:rFonts w:ascii="Arial" w:hAnsi="Arial"/>
          <w:sz w:val="22"/>
          <w:u w:val="single"/>
        </w:rPr>
        <w:t>Prend note</w:t>
      </w:r>
      <w:r w:rsidRPr="00C34EE5">
        <w:rPr>
          <w:rFonts w:ascii="Arial" w:hAnsi="Arial"/>
          <w:sz w:val="22"/>
        </w:rPr>
        <w:t xml:space="preserve"> que l</w:t>
      </w:r>
      <w:r w:rsidR="003008A9">
        <w:rPr>
          <w:rFonts w:ascii="Arial" w:hAnsi="Arial"/>
          <w:sz w:val="22"/>
        </w:rPr>
        <w:t>’</w:t>
      </w:r>
      <w:r w:rsidRPr="00C34EE5">
        <w:rPr>
          <w:rFonts w:ascii="Arial" w:hAnsi="Arial"/>
          <w:sz w:val="22"/>
        </w:rPr>
        <w:t xml:space="preserve">Arabie saoudite a proposé </w:t>
      </w:r>
      <w:r w:rsidR="003E424A">
        <w:rPr>
          <w:rFonts w:ascii="Arial" w:hAnsi="Arial"/>
          <w:b/>
          <w:sz w:val="22"/>
        </w:rPr>
        <w:t>L</w:t>
      </w:r>
      <w:r w:rsidRPr="00C34EE5">
        <w:rPr>
          <w:rFonts w:ascii="Arial" w:hAnsi="Arial"/>
          <w:b/>
          <w:sz w:val="22"/>
        </w:rPr>
        <w:t>e festival national du patrimoine et de la culture Al-</w:t>
      </w:r>
      <w:proofErr w:type="spellStart"/>
      <w:r w:rsidRPr="00C34EE5">
        <w:rPr>
          <w:rFonts w:ascii="Arial" w:hAnsi="Arial"/>
          <w:b/>
          <w:sz w:val="22"/>
        </w:rPr>
        <w:t>Janadria</w:t>
      </w:r>
      <w:proofErr w:type="spellEnd"/>
      <w:r w:rsidRPr="00C34EE5">
        <w:rPr>
          <w:rFonts w:ascii="Arial" w:hAnsi="Arial"/>
          <w:sz w:val="22"/>
        </w:rPr>
        <w:t xml:space="preserve"> (n° 01403) pour sélection et promotion par le Comité comme programme, projet ou activité reflétant le mieux les principes et objectifs de la Convention :</w:t>
      </w:r>
    </w:p>
    <w:p w14:paraId="29360DFF" w14:textId="109452C5" w:rsidR="00FD4D37" w:rsidRPr="009D7445" w:rsidRDefault="009D7445" w:rsidP="009D7445">
      <w:pPr>
        <w:tabs>
          <w:tab w:val="left" w:pos="1134"/>
          <w:tab w:val="left" w:pos="1701"/>
          <w:tab w:val="left" w:pos="2268"/>
        </w:tabs>
        <w:spacing w:before="120" w:after="120"/>
        <w:ind w:left="1134"/>
        <w:jc w:val="both"/>
        <w:rPr>
          <w:rFonts w:ascii="Arial" w:hAnsi="Arial" w:cs="Arial"/>
          <w:sz w:val="22"/>
          <w:szCs w:val="22"/>
        </w:rPr>
      </w:pPr>
      <w:r w:rsidRPr="009D7445">
        <w:rPr>
          <w:rFonts w:ascii="Arial" w:hAnsi="Arial"/>
          <w:sz w:val="22"/>
        </w:rPr>
        <w:t>Al-</w:t>
      </w:r>
      <w:proofErr w:type="spellStart"/>
      <w:r w:rsidRPr="009D7445">
        <w:rPr>
          <w:rFonts w:ascii="Arial" w:hAnsi="Arial"/>
          <w:sz w:val="22"/>
        </w:rPr>
        <w:t>Janadria</w:t>
      </w:r>
      <w:proofErr w:type="spellEnd"/>
      <w:r w:rsidRPr="009D7445">
        <w:rPr>
          <w:rFonts w:ascii="Arial" w:hAnsi="Arial"/>
          <w:sz w:val="22"/>
        </w:rPr>
        <w:t xml:space="preserve"> est un festival national du patrimoine et de la culture, lancé en 1985 par le président de la Garde nationale saoudienne. Le festival s</w:t>
      </w:r>
      <w:r w:rsidR="003008A9">
        <w:rPr>
          <w:rFonts w:ascii="Arial" w:hAnsi="Arial"/>
          <w:sz w:val="22"/>
        </w:rPr>
        <w:t>’</w:t>
      </w:r>
      <w:r w:rsidRPr="009D7445">
        <w:rPr>
          <w:rFonts w:ascii="Arial" w:hAnsi="Arial"/>
          <w:sz w:val="22"/>
        </w:rPr>
        <w:t>est vu définir sept objectifs dont le plus important est de faire connaître aux jeunes les traditions en voie de disparition rapide et de renforcer le sentiment d</w:t>
      </w:r>
      <w:r w:rsidR="003008A9">
        <w:rPr>
          <w:rFonts w:ascii="Arial" w:hAnsi="Arial"/>
          <w:sz w:val="22"/>
        </w:rPr>
        <w:t>’</w:t>
      </w:r>
      <w:r w:rsidRPr="009D7445">
        <w:rPr>
          <w:rFonts w:ascii="Arial" w:hAnsi="Arial"/>
          <w:sz w:val="22"/>
        </w:rPr>
        <w:t>unité nationale et sociale. Le festival, qui s</w:t>
      </w:r>
      <w:r w:rsidR="003008A9">
        <w:rPr>
          <w:rFonts w:ascii="Arial" w:hAnsi="Arial"/>
          <w:sz w:val="22"/>
        </w:rPr>
        <w:t>’</w:t>
      </w:r>
      <w:r w:rsidRPr="009D7445">
        <w:rPr>
          <w:rFonts w:ascii="Arial" w:hAnsi="Arial"/>
          <w:sz w:val="22"/>
        </w:rPr>
        <w:t>ouvre par une course de chameaux, propose également des chants traditionnels, des jeux populaires, des concours de danses et de poésie, des expositions d</w:t>
      </w:r>
      <w:r w:rsidR="003008A9">
        <w:rPr>
          <w:rFonts w:ascii="Arial" w:hAnsi="Arial"/>
          <w:sz w:val="22"/>
        </w:rPr>
        <w:t>’</w:t>
      </w:r>
      <w:r w:rsidRPr="009D7445">
        <w:rPr>
          <w:rFonts w:ascii="Arial" w:hAnsi="Arial"/>
          <w:sz w:val="22"/>
        </w:rPr>
        <w:t>art et d</w:t>
      </w:r>
      <w:r w:rsidR="003008A9">
        <w:rPr>
          <w:rFonts w:ascii="Arial" w:hAnsi="Arial"/>
          <w:sz w:val="22"/>
        </w:rPr>
        <w:t>’</w:t>
      </w:r>
      <w:r w:rsidRPr="009D7445">
        <w:rPr>
          <w:rFonts w:ascii="Arial" w:hAnsi="Arial"/>
          <w:sz w:val="22"/>
        </w:rPr>
        <w:t>artisanat traditionnels de tout le Royaume ainsi que d</w:t>
      </w:r>
      <w:r w:rsidR="003008A9">
        <w:rPr>
          <w:rFonts w:ascii="Arial" w:hAnsi="Arial"/>
          <w:sz w:val="22"/>
        </w:rPr>
        <w:t>’</w:t>
      </w:r>
      <w:r w:rsidRPr="009D7445">
        <w:rPr>
          <w:rFonts w:ascii="Arial" w:hAnsi="Arial"/>
          <w:sz w:val="22"/>
        </w:rPr>
        <w:t>autres événements. Douze provinces disposent de leur propre pavillon – qui reprodui</w:t>
      </w:r>
      <w:r w:rsidR="00373D59">
        <w:rPr>
          <w:rFonts w:ascii="Arial" w:hAnsi="Arial"/>
          <w:sz w:val="22"/>
        </w:rPr>
        <w:t>t</w:t>
      </w:r>
      <w:r w:rsidRPr="009D7445">
        <w:rPr>
          <w:rFonts w:ascii="Arial" w:hAnsi="Arial"/>
          <w:sz w:val="22"/>
        </w:rPr>
        <w:t xml:space="preserve"> en général l</w:t>
      </w:r>
      <w:r w:rsidR="003008A9">
        <w:rPr>
          <w:rFonts w:ascii="Arial" w:hAnsi="Arial"/>
          <w:sz w:val="22"/>
        </w:rPr>
        <w:t>’</w:t>
      </w:r>
      <w:r w:rsidRPr="009D7445">
        <w:rPr>
          <w:rFonts w:ascii="Arial" w:hAnsi="Arial"/>
          <w:sz w:val="22"/>
        </w:rPr>
        <w:t>architecture locale – parmi lesquels les visiteurs peuvent se déplacer pour découvrir les arts et artisanats locaux. Le festival, qui débuta sous la forme d</w:t>
      </w:r>
      <w:r w:rsidR="003008A9">
        <w:rPr>
          <w:rFonts w:ascii="Arial" w:hAnsi="Arial"/>
          <w:sz w:val="22"/>
        </w:rPr>
        <w:t>’</w:t>
      </w:r>
      <w:r w:rsidRPr="009D7445">
        <w:rPr>
          <w:rFonts w:ascii="Arial" w:hAnsi="Arial"/>
          <w:sz w:val="22"/>
        </w:rPr>
        <w:t>une modeste course de chameaux, est désormais considéré comme l</w:t>
      </w:r>
      <w:r w:rsidR="003008A9">
        <w:rPr>
          <w:rFonts w:ascii="Arial" w:hAnsi="Arial"/>
          <w:sz w:val="22"/>
        </w:rPr>
        <w:t>’</w:t>
      </w:r>
      <w:r w:rsidRPr="009D7445">
        <w:rPr>
          <w:rFonts w:ascii="Arial" w:hAnsi="Arial"/>
          <w:sz w:val="22"/>
        </w:rPr>
        <w:t>un des plus grands événements multiethniques et multiculturels du monde arabe, attirant un nombre considérable de visiteurs. Al-</w:t>
      </w:r>
      <w:proofErr w:type="spellStart"/>
      <w:r w:rsidRPr="009D7445">
        <w:rPr>
          <w:rFonts w:ascii="Arial" w:hAnsi="Arial"/>
          <w:sz w:val="22"/>
        </w:rPr>
        <w:t>Janadria</w:t>
      </w:r>
      <w:proofErr w:type="spellEnd"/>
      <w:r w:rsidRPr="009D7445">
        <w:rPr>
          <w:rFonts w:ascii="Arial" w:hAnsi="Arial"/>
          <w:sz w:val="22"/>
        </w:rPr>
        <w:t xml:space="preserve"> facilite l</w:t>
      </w:r>
      <w:r w:rsidR="003008A9">
        <w:rPr>
          <w:rFonts w:ascii="Arial" w:hAnsi="Arial"/>
          <w:sz w:val="22"/>
        </w:rPr>
        <w:t>’</w:t>
      </w:r>
      <w:r w:rsidRPr="009D7445">
        <w:rPr>
          <w:rFonts w:ascii="Arial" w:hAnsi="Arial"/>
          <w:sz w:val="22"/>
        </w:rPr>
        <w:t>échange d</w:t>
      </w:r>
      <w:r w:rsidR="003008A9">
        <w:rPr>
          <w:rFonts w:ascii="Arial" w:hAnsi="Arial"/>
          <w:sz w:val="22"/>
        </w:rPr>
        <w:t>’</w:t>
      </w:r>
      <w:r w:rsidRPr="009D7445">
        <w:rPr>
          <w:rFonts w:ascii="Arial" w:hAnsi="Arial"/>
          <w:sz w:val="22"/>
        </w:rPr>
        <w:t>idées entre les membres des communautés. Les États voisins du Golfe sont toujours représentés et, chaque année, un pays est « Invité d</w:t>
      </w:r>
      <w:r w:rsidR="003008A9">
        <w:rPr>
          <w:rFonts w:ascii="Arial" w:hAnsi="Arial"/>
          <w:sz w:val="22"/>
        </w:rPr>
        <w:t>’</w:t>
      </w:r>
      <w:r w:rsidRPr="009D7445">
        <w:rPr>
          <w:rFonts w:ascii="Arial" w:hAnsi="Arial"/>
          <w:sz w:val="22"/>
        </w:rPr>
        <w:t>honneur ». Un pavillon appelé « Village mondial » accueille également vingt pays. En mettant en œuvre différents types d</w:t>
      </w:r>
      <w:r w:rsidR="003008A9">
        <w:rPr>
          <w:rFonts w:ascii="Arial" w:hAnsi="Arial"/>
          <w:sz w:val="22"/>
        </w:rPr>
        <w:t>’</w:t>
      </w:r>
      <w:r w:rsidRPr="009D7445">
        <w:rPr>
          <w:rFonts w:ascii="Arial" w:hAnsi="Arial"/>
          <w:sz w:val="22"/>
        </w:rPr>
        <w:t>activités (centrées sur la protection, la transmission, la documentation, la revitalisation</w:t>
      </w:r>
      <w:r w:rsidR="003E424A">
        <w:rPr>
          <w:rFonts w:ascii="Arial" w:hAnsi="Arial"/>
          <w:sz w:val="22"/>
        </w:rPr>
        <w:t xml:space="preserve"> ou encore</w:t>
      </w:r>
      <w:r w:rsidRPr="009D7445">
        <w:rPr>
          <w:rFonts w:ascii="Arial" w:hAnsi="Arial"/>
          <w:sz w:val="22"/>
        </w:rPr>
        <w:t xml:space="preserve"> la promotion du patrimoine), le festival vise à adopter une approche globale de la sauvegarde envisagée comme un moyen d</w:t>
      </w:r>
      <w:r w:rsidR="003008A9">
        <w:rPr>
          <w:rFonts w:ascii="Arial" w:hAnsi="Arial"/>
          <w:sz w:val="22"/>
        </w:rPr>
        <w:t>’</w:t>
      </w:r>
      <w:r w:rsidRPr="009D7445">
        <w:rPr>
          <w:rFonts w:ascii="Arial" w:hAnsi="Arial"/>
          <w:sz w:val="22"/>
        </w:rPr>
        <w:t>obtenir des résultats durables.</w:t>
      </w:r>
    </w:p>
    <w:p w14:paraId="40796022" w14:textId="46F4E7BA" w:rsidR="00373B56" w:rsidRPr="00C34EE5" w:rsidRDefault="00373B56" w:rsidP="00373B56">
      <w:pPr>
        <w:keepNext/>
        <w:numPr>
          <w:ilvl w:val="0"/>
          <w:numId w:val="13"/>
        </w:numPr>
        <w:tabs>
          <w:tab w:val="left" w:pos="567"/>
          <w:tab w:val="left" w:pos="1134"/>
          <w:tab w:val="left" w:pos="1701"/>
          <w:tab w:val="left" w:pos="2268"/>
        </w:tabs>
        <w:spacing w:before="120" w:after="120"/>
        <w:ind w:left="1134" w:hanging="567"/>
        <w:jc w:val="both"/>
        <w:rPr>
          <w:rFonts w:ascii="Arial" w:hAnsi="Arial" w:cs="Arial"/>
          <w:sz w:val="22"/>
          <w:szCs w:val="22"/>
        </w:rPr>
      </w:pPr>
      <w:r w:rsidRPr="00C34EE5">
        <w:rPr>
          <w:rFonts w:ascii="Arial" w:hAnsi="Arial"/>
          <w:sz w:val="22"/>
          <w:u w:val="single"/>
        </w:rPr>
        <w:lastRenderedPageBreak/>
        <w:t>Décide</w:t>
      </w:r>
      <w:r w:rsidRPr="00C34EE5">
        <w:rPr>
          <w:rFonts w:ascii="Arial" w:hAnsi="Arial"/>
          <w:sz w:val="22"/>
        </w:rPr>
        <w:t xml:space="preserve"> que, d</w:t>
      </w:r>
      <w:r w:rsidR="003008A9">
        <w:rPr>
          <w:rFonts w:ascii="Arial" w:hAnsi="Arial"/>
          <w:sz w:val="22"/>
        </w:rPr>
        <w:t>’</w:t>
      </w:r>
      <w:r w:rsidRPr="00C34EE5">
        <w:rPr>
          <w:rFonts w:ascii="Arial" w:hAnsi="Arial"/>
          <w:sz w:val="22"/>
        </w:rPr>
        <w:t>après l</w:t>
      </w:r>
      <w:r w:rsidR="004F6993">
        <w:rPr>
          <w:rFonts w:ascii="Arial" w:hAnsi="Arial"/>
          <w:sz w:val="22"/>
        </w:rPr>
        <w:t>’</w:t>
      </w:r>
      <w:r w:rsidRPr="00C34EE5">
        <w:rPr>
          <w:rFonts w:ascii="Arial" w:hAnsi="Arial"/>
          <w:sz w:val="22"/>
        </w:rPr>
        <w:t>information contenue dans le dossier, le programme répond comme suit aux critères énoncés au paragraphe 7 des Directives opérationnelles concernant la sélection en tant que bonne pratique de sauvegarde :</w:t>
      </w:r>
    </w:p>
    <w:p w14:paraId="025AF571" w14:textId="2537F9C1"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P.1 :</w:t>
      </w:r>
      <w:r w:rsidRPr="00C34EE5">
        <w:tab/>
      </w:r>
      <w:r w:rsidRPr="00C34EE5">
        <w:rPr>
          <w:rFonts w:ascii="Arial" w:hAnsi="Arial"/>
          <w:sz w:val="22"/>
        </w:rPr>
        <w:t>Al-</w:t>
      </w:r>
      <w:proofErr w:type="spellStart"/>
      <w:r w:rsidRPr="00C34EE5">
        <w:rPr>
          <w:rFonts w:ascii="Arial" w:hAnsi="Arial"/>
          <w:sz w:val="22"/>
        </w:rPr>
        <w:t>Janadria</w:t>
      </w:r>
      <w:proofErr w:type="spellEnd"/>
      <w:r w:rsidRPr="00C34EE5">
        <w:rPr>
          <w:rFonts w:ascii="Arial" w:hAnsi="Arial"/>
          <w:sz w:val="22"/>
        </w:rPr>
        <w:t xml:space="preserve"> présente une gamme d</w:t>
      </w:r>
      <w:r w:rsidR="003008A9">
        <w:rPr>
          <w:rFonts w:ascii="Arial" w:hAnsi="Arial"/>
          <w:sz w:val="22"/>
        </w:rPr>
        <w:t>’</w:t>
      </w:r>
      <w:r w:rsidRPr="00C34EE5">
        <w:rPr>
          <w:rFonts w:ascii="Arial" w:hAnsi="Arial"/>
          <w:sz w:val="22"/>
        </w:rPr>
        <w:t xml:space="preserve">activités </w:t>
      </w:r>
      <w:r w:rsidR="00373D59" w:rsidRPr="00C34EE5">
        <w:rPr>
          <w:rFonts w:ascii="Arial" w:hAnsi="Arial"/>
          <w:sz w:val="22"/>
        </w:rPr>
        <w:t xml:space="preserve">remarquablement complète </w:t>
      </w:r>
      <w:r w:rsidRPr="00C34EE5">
        <w:rPr>
          <w:rFonts w:ascii="Arial" w:hAnsi="Arial"/>
          <w:sz w:val="22"/>
        </w:rPr>
        <w:t>en lien avec le festival national. Si l</w:t>
      </w:r>
      <w:r w:rsidR="003008A9">
        <w:rPr>
          <w:rFonts w:ascii="Arial" w:hAnsi="Arial"/>
          <w:sz w:val="22"/>
        </w:rPr>
        <w:t>’</w:t>
      </w:r>
      <w:r w:rsidRPr="00C34EE5">
        <w:rPr>
          <w:rFonts w:ascii="Arial" w:hAnsi="Arial"/>
          <w:sz w:val="22"/>
        </w:rPr>
        <w:t>organisation du festival est décrite en détail, d</w:t>
      </w:r>
      <w:r w:rsidR="00747C87">
        <w:rPr>
          <w:rFonts w:ascii="Arial" w:hAnsi="Arial"/>
          <w:sz w:val="22"/>
        </w:rPr>
        <w:t xml:space="preserve">es </w:t>
      </w:r>
      <w:r w:rsidRPr="00C34EE5">
        <w:rPr>
          <w:rFonts w:ascii="Arial" w:hAnsi="Arial"/>
          <w:sz w:val="22"/>
        </w:rPr>
        <w:t>informations</w:t>
      </w:r>
      <w:r w:rsidR="00747C87">
        <w:rPr>
          <w:rFonts w:ascii="Arial" w:hAnsi="Arial"/>
          <w:sz w:val="22"/>
        </w:rPr>
        <w:t xml:space="preserve"> supplémentaires seraient nécessaires</w:t>
      </w:r>
      <w:r w:rsidRPr="00C34EE5">
        <w:rPr>
          <w:rFonts w:ascii="Arial" w:hAnsi="Arial"/>
          <w:sz w:val="22"/>
        </w:rPr>
        <w:t xml:space="preserve"> concernant les activités de sauvegarde spécifiques s</w:t>
      </w:r>
      <w:r w:rsidR="003008A9">
        <w:rPr>
          <w:rFonts w:ascii="Arial" w:hAnsi="Arial"/>
          <w:sz w:val="22"/>
        </w:rPr>
        <w:t>’</w:t>
      </w:r>
      <w:r w:rsidRPr="00C34EE5">
        <w:rPr>
          <w:rFonts w:ascii="Arial" w:hAnsi="Arial"/>
          <w:sz w:val="22"/>
        </w:rPr>
        <w:t>étendant au-delà de la promotion et de la sensibilisation du public, notamment celles menant à l</w:t>
      </w:r>
      <w:r w:rsidR="003008A9">
        <w:rPr>
          <w:rFonts w:ascii="Arial" w:hAnsi="Arial"/>
          <w:sz w:val="22"/>
        </w:rPr>
        <w:t>’</w:t>
      </w:r>
      <w:r w:rsidRPr="00C34EE5">
        <w:rPr>
          <w:rFonts w:ascii="Arial" w:hAnsi="Arial"/>
          <w:sz w:val="22"/>
        </w:rPr>
        <w:t>amélioration de la transmission et de la viabilité du patrimoine culturel immatériel. Les caractéristiques spécifiques d</w:t>
      </w:r>
      <w:r w:rsidR="003008A9">
        <w:rPr>
          <w:rFonts w:ascii="Arial" w:hAnsi="Arial"/>
          <w:sz w:val="22"/>
        </w:rPr>
        <w:t>’</w:t>
      </w:r>
      <w:r w:rsidRPr="00C34EE5">
        <w:rPr>
          <w:rFonts w:ascii="Arial" w:hAnsi="Arial"/>
          <w:sz w:val="22"/>
        </w:rPr>
        <w:t>Al-</w:t>
      </w:r>
      <w:proofErr w:type="spellStart"/>
      <w:r w:rsidRPr="00C34EE5">
        <w:rPr>
          <w:rFonts w:ascii="Arial" w:hAnsi="Arial"/>
          <w:sz w:val="22"/>
        </w:rPr>
        <w:t>Janadria</w:t>
      </w:r>
      <w:proofErr w:type="spellEnd"/>
      <w:r w:rsidRPr="00C34EE5">
        <w:rPr>
          <w:rFonts w:ascii="Arial" w:hAnsi="Arial"/>
          <w:sz w:val="22"/>
        </w:rPr>
        <w:t xml:space="preserve"> ne sont pas suffisamment expliquées pour démontrer la façon dont il fait partie de la sauvegarde du patrimoine vivant et y contribue.</w:t>
      </w:r>
    </w:p>
    <w:p w14:paraId="7686ABB1" w14:textId="6C3DDBC3"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P.2 :</w:t>
      </w:r>
      <w:r w:rsidRPr="00C34EE5">
        <w:tab/>
      </w:r>
      <w:r w:rsidRPr="00C34EE5">
        <w:rPr>
          <w:rFonts w:ascii="Arial" w:hAnsi="Arial"/>
          <w:sz w:val="22"/>
        </w:rPr>
        <w:t>Le dossier prouve que le festival facilite l</w:t>
      </w:r>
      <w:r w:rsidR="003008A9">
        <w:rPr>
          <w:rFonts w:ascii="Arial" w:hAnsi="Arial"/>
          <w:sz w:val="22"/>
        </w:rPr>
        <w:t>’</w:t>
      </w:r>
      <w:r w:rsidRPr="00C34EE5">
        <w:rPr>
          <w:rFonts w:ascii="Arial" w:hAnsi="Arial"/>
          <w:sz w:val="22"/>
        </w:rPr>
        <w:t>échange d</w:t>
      </w:r>
      <w:r w:rsidR="003008A9">
        <w:rPr>
          <w:rFonts w:ascii="Arial" w:hAnsi="Arial"/>
          <w:sz w:val="22"/>
        </w:rPr>
        <w:t>’</w:t>
      </w:r>
      <w:r w:rsidRPr="00C34EE5">
        <w:rPr>
          <w:rFonts w:ascii="Arial" w:hAnsi="Arial"/>
          <w:sz w:val="22"/>
        </w:rPr>
        <w:t>idées et d</w:t>
      </w:r>
      <w:r w:rsidR="003008A9">
        <w:rPr>
          <w:rFonts w:ascii="Arial" w:hAnsi="Arial"/>
          <w:sz w:val="22"/>
        </w:rPr>
        <w:t>’</w:t>
      </w:r>
      <w:r w:rsidRPr="00C34EE5">
        <w:rPr>
          <w:rFonts w:ascii="Arial" w:hAnsi="Arial"/>
          <w:sz w:val="22"/>
        </w:rPr>
        <w:t>expérience</w:t>
      </w:r>
      <w:r w:rsidR="00747C87">
        <w:rPr>
          <w:rFonts w:ascii="Arial" w:hAnsi="Arial"/>
          <w:sz w:val="22"/>
        </w:rPr>
        <w:t>s</w:t>
      </w:r>
      <w:r w:rsidRPr="00C34EE5">
        <w:rPr>
          <w:rFonts w:ascii="Arial" w:hAnsi="Arial"/>
          <w:sz w:val="22"/>
        </w:rPr>
        <w:t xml:space="preserve"> au sein des communautés au niveau </w:t>
      </w:r>
      <w:proofErr w:type="spellStart"/>
      <w:r w:rsidRPr="00C34EE5">
        <w:rPr>
          <w:rFonts w:ascii="Arial" w:hAnsi="Arial"/>
          <w:sz w:val="22"/>
        </w:rPr>
        <w:t>sous-régional</w:t>
      </w:r>
      <w:proofErr w:type="spellEnd"/>
      <w:r w:rsidRPr="00C34EE5">
        <w:rPr>
          <w:rFonts w:ascii="Arial" w:hAnsi="Arial"/>
          <w:sz w:val="22"/>
        </w:rPr>
        <w:t>, notamment parmi les États du Golfe. Au niveau international, le festival invite d</w:t>
      </w:r>
      <w:r w:rsidR="003008A9">
        <w:rPr>
          <w:rFonts w:ascii="Arial" w:hAnsi="Arial"/>
          <w:sz w:val="22"/>
        </w:rPr>
        <w:t>’</w:t>
      </w:r>
      <w:r w:rsidRPr="00C34EE5">
        <w:rPr>
          <w:rFonts w:ascii="Arial" w:hAnsi="Arial"/>
          <w:sz w:val="22"/>
        </w:rPr>
        <w:t>autres pays à partager la grande diversité de leur culture et de leurs traditions, promouvant ainsi la coopération culturelle et le partage. Cependant, la façon dont cela promeut la coordination des efforts pour la sauvegarde du patrimoine culturel immatériel n</w:t>
      </w:r>
      <w:r w:rsidR="003008A9">
        <w:rPr>
          <w:rFonts w:ascii="Arial" w:hAnsi="Arial"/>
          <w:sz w:val="22"/>
        </w:rPr>
        <w:t>’</w:t>
      </w:r>
      <w:r w:rsidRPr="00C34EE5">
        <w:rPr>
          <w:rFonts w:ascii="Arial" w:hAnsi="Arial"/>
          <w:sz w:val="22"/>
        </w:rPr>
        <w:t>est pas claire.</w:t>
      </w:r>
    </w:p>
    <w:p w14:paraId="2775959F" w14:textId="6F751EB4"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P.3 :</w:t>
      </w:r>
      <w:r w:rsidRPr="00C34EE5">
        <w:tab/>
      </w:r>
      <w:r w:rsidRPr="00C34EE5">
        <w:rPr>
          <w:rFonts w:ascii="Arial" w:hAnsi="Arial"/>
          <w:sz w:val="22"/>
        </w:rPr>
        <w:t>Al-</w:t>
      </w:r>
      <w:proofErr w:type="spellStart"/>
      <w:r w:rsidRPr="00C34EE5">
        <w:rPr>
          <w:rFonts w:ascii="Arial" w:hAnsi="Arial"/>
          <w:sz w:val="22"/>
        </w:rPr>
        <w:t>Janadria</w:t>
      </w:r>
      <w:proofErr w:type="spellEnd"/>
      <w:r w:rsidRPr="00C34EE5">
        <w:rPr>
          <w:rFonts w:ascii="Arial" w:hAnsi="Arial"/>
          <w:sz w:val="22"/>
        </w:rPr>
        <w:t xml:space="preserve"> contribue à garantir le respect du patrimoine culturel, et à y sensibiliser le public. Cependant, en raison de son envergure et de son organisation pilotée par l</w:t>
      </w:r>
      <w:r w:rsidR="003008A9">
        <w:rPr>
          <w:rFonts w:ascii="Arial" w:hAnsi="Arial"/>
          <w:sz w:val="22"/>
        </w:rPr>
        <w:t>’</w:t>
      </w:r>
      <w:r w:rsidRPr="00C34EE5">
        <w:rPr>
          <w:rFonts w:ascii="Arial" w:hAnsi="Arial"/>
          <w:sz w:val="22"/>
        </w:rPr>
        <w:t xml:space="preserve">État, il met en lumière des expressions culturelles sorties de leur contexte et détachées de leur </w:t>
      </w:r>
      <w:r w:rsidR="00747C87">
        <w:rPr>
          <w:rFonts w:ascii="Arial" w:hAnsi="Arial"/>
          <w:sz w:val="22"/>
        </w:rPr>
        <w:t>environnement</w:t>
      </w:r>
      <w:r w:rsidRPr="00C34EE5">
        <w:rPr>
          <w:rFonts w:ascii="Arial" w:hAnsi="Arial"/>
          <w:sz w:val="22"/>
        </w:rPr>
        <w:t>. Bien que les communautés soient invitées à participer au festival, leur rôle dans sa conceptualisation n</w:t>
      </w:r>
      <w:r w:rsidR="003008A9">
        <w:rPr>
          <w:rFonts w:ascii="Arial" w:hAnsi="Arial"/>
          <w:sz w:val="22"/>
        </w:rPr>
        <w:t>’</w:t>
      </w:r>
      <w:r w:rsidRPr="00C34EE5">
        <w:rPr>
          <w:rFonts w:ascii="Arial" w:hAnsi="Arial"/>
          <w:sz w:val="22"/>
        </w:rPr>
        <w:t xml:space="preserve">est pas visible. Les informations contenues dans le dossier </w:t>
      </w:r>
      <w:r w:rsidR="00617419">
        <w:rPr>
          <w:rFonts w:ascii="Arial" w:hAnsi="Arial"/>
          <w:sz w:val="22"/>
        </w:rPr>
        <w:t>démontrent</w:t>
      </w:r>
      <w:r w:rsidR="00617419" w:rsidRPr="00C34EE5">
        <w:rPr>
          <w:rFonts w:ascii="Arial" w:hAnsi="Arial"/>
          <w:sz w:val="22"/>
        </w:rPr>
        <w:t xml:space="preserve"> </w:t>
      </w:r>
      <w:r w:rsidRPr="00C34EE5">
        <w:rPr>
          <w:rFonts w:ascii="Arial" w:hAnsi="Arial"/>
          <w:sz w:val="22"/>
        </w:rPr>
        <w:t>que le festival Al-</w:t>
      </w:r>
      <w:proofErr w:type="spellStart"/>
      <w:r w:rsidRPr="00C34EE5">
        <w:rPr>
          <w:rFonts w:ascii="Arial" w:hAnsi="Arial"/>
          <w:sz w:val="22"/>
        </w:rPr>
        <w:t>Janadria</w:t>
      </w:r>
      <w:proofErr w:type="spellEnd"/>
      <w:r w:rsidRPr="00C34EE5">
        <w:rPr>
          <w:rFonts w:ascii="Arial" w:hAnsi="Arial"/>
          <w:sz w:val="22"/>
        </w:rPr>
        <w:t xml:space="preserve"> ne reflète pas complètement les principes et objectifs de la Convention.</w:t>
      </w:r>
    </w:p>
    <w:p w14:paraId="64F9C9F4" w14:textId="3FC009BF"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P.4 :</w:t>
      </w:r>
      <w:r w:rsidRPr="00C34EE5">
        <w:tab/>
      </w:r>
      <w:r w:rsidRPr="00C34EE5">
        <w:rPr>
          <w:rFonts w:ascii="Arial" w:hAnsi="Arial"/>
          <w:sz w:val="22"/>
        </w:rPr>
        <w:t>Le dossier montre qu</w:t>
      </w:r>
      <w:r w:rsidR="00747C87">
        <w:rPr>
          <w:rFonts w:ascii="Arial" w:hAnsi="Arial"/>
          <w:sz w:val="22"/>
        </w:rPr>
        <w:t>’</w:t>
      </w:r>
      <w:r w:rsidRPr="00C34EE5">
        <w:rPr>
          <w:rFonts w:ascii="Arial" w:hAnsi="Arial"/>
          <w:sz w:val="22"/>
        </w:rPr>
        <w:t>Al-</w:t>
      </w:r>
      <w:proofErr w:type="spellStart"/>
      <w:r w:rsidRPr="00C34EE5">
        <w:rPr>
          <w:rFonts w:ascii="Arial" w:hAnsi="Arial"/>
          <w:sz w:val="22"/>
        </w:rPr>
        <w:t>Janadria</w:t>
      </w:r>
      <w:proofErr w:type="spellEnd"/>
      <w:r w:rsidRPr="00C34EE5">
        <w:rPr>
          <w:rFonts w:ascii="Arial" w:hAnsi="Arial"/>
          <w:sz w:val="22"/>
        </w:rPr>
        <w:t xml:space="preserve"> est populaire auprès de son public, et réussit à mettre en </w:t>
      </w:r>
      <w:r w:rsidR="00617419">
        <w:rPr>
          <w:rFonts w:ascii="Arial" w:hAnsi="Arial"/>
          <w:sz w:val="22"/>
        </w:rPr>
        <w:t>avant</w:t>
      </w:r>
      <w:r w:rsidR="00617419" w:rsidRPr="00C34EE5">
        <w:rPr>
          <w:rFonts w:ascii="Arial" w:hAnsi="Arial"/>
          <w:sz w:val="22"/>
        </w:rPr>
        <w:t xml:space="preserve"> </w:t>
      </w:r>
      <w:r w:rsidRPr="00C34EE5">
        <w:rPr>
          <w:rFonts w:ascii="Arial" w:hAnsi="Arial"/>
          <w:sz w:val="22"/>
        </w:rPr>
        <w:t xml:space="preserve">le patrimoine culturel. Toutefois, si le dossier insiste </w:t>
      </w:r>
      <w:r w:rsidR="00747C87">
        <w:rPr>
          <w:rFonts w:ascii="Arial" w:hAnsi="Arial"/>
          <w:sz w:val="22"/>
        </w:rPr>
        <w:t>fortement</w:t>
      </w:r>
      <w:r w:rsidR="00747C87" w:rsidRPr="00C34EE5">
        <w:rPr>
          <w:rFonts w:ascii="Arial" w:hAnsi="Arial"/>
          <w:sz w:val="22"/>
        </w:rPr>
        <w:t xml:space="preserve"> </w:t>
      </w:r>
      <w:r w:rsidRPr="00C34EE5">
        <w:rPr>
          <w:rFonts w:ascii="Arial" w:hAnsi="Arial"/>
          <w:sz w:val="22"/>
        </w:rPr>
        <w:t>sur la dimension récréative du festival et les activités commerciales qui l</w:t>
      </w:r>
      <w:r w:rsidR="003008A9">
        <w:rPr>
          <w:rFonts w:ascii="Arial" w:hAnsi="Arial"/>
          <w:sz w:val="22"/>
        </w:rPr>
        <w:t>’</w:t>
      </w:r>
      <w:r w:rsidRPr="00C34EE5">
        <w:rPr>
          <w:rFonts w:ascii="Arial" w:hAnsi="Arial"/>
          <w:sz w:val="22"/>
        </w:rPr>
        <w:t xml:space="preserve">entourent, il ne montre pas comment cela contribue à améliorer la viabilité du patrimoine vivant. Au contraire, le format de festival décrit dans le dossier pourrait encourager la </w:t>
      </w:r>
      <w:proofErr w:type="spellStart"/>
      <w:r w:rsidRPr="00C34EE5">
        <w:rPr>
          <w:rFonts w:ascii="Arial" w:hAnsi="Arial"/>
          <w:sz w:val="22"/>
        </w:rPr>
        <w:t>décontextualisation</w:t>
      </w:r>
      <w:proofErr w:type="spellEnd"/>
      <w:r w:rsidRPr="00C34EE5">
        <w:rPr>
          <w:rFonts w:ascii="Arial" w:hAnsi="Arial"/>
          <w:sz w:val="22"/>
        </w:rPr>
        <w:t xml:space="preserve"> et la commercialisation </w:t>
      </w:r>
      <w:r w:rsidR="00747C87">
        <w:rPr>
          <w:rFonts w:ascii="Arial" w:hAnsi="Arial"/>
          <w:sz w:val="22"/>
        </w:rPr>
        <w:t xml:space="preserve">excessive </w:t>
      </w:r>
      <w:r w:rsidRPr="00C34EE5">
        <w:rPr>
          <w:rFonts w:ascii="Arial" w:hAnsi="Arial"/>
          <w:sz w:val="22"/>
        </w:rPr>
        <w:t>du patrimoine culturel immatériel.</w:t>
      </w:r>
    </w:p>
    <w:p w14:paraId="5DC583A2" w14:textId="3B1A3E97"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P.5 :</w:t>
      </w:r>
      <w:r w:rsidRPr="00C34EE5">
        <w:tab/>
      </w:r>
      <w:r w:rsidRPr="00C34EE5">
        <w:rPr>
          <w:rFonts w:ascii="Arial" w:hAnsi="Arial"/>
          <w:sz w:val="22"/>
        </w:rPr>
        <w:t>Les communautés, groupes et individus concernés sont décrits comme des participants invités par les organisateurs à se produire ou à exposer leurs expressions culturelles. Le dossier ne contient cependant pas assez d</w:t>
      </w:r>
      <w:r w:rsidR="003008A9">
        <w:rPr>
          <w:rFonts w:ascii="Arial" w:hAnsi="Arial"/>
          <w:sz w:val="22"/>
        </w:rPr>
        <w:t>’</w:t>
      </w:r>
      <w:r w:rsidRPr="00C34EE5">
        <w:rPr>
          <w:rFonts w:ascii="Arial" w:hAnsi="Arial"/>
          <w:sz w:val="22"/>
        </w:rPr>
        <w:t>informations permettant de déterminer s</w:t>
      </w:r>
      <w:r w:rsidR="003008A9">
        <w:rPr>
          <w:rFonts w:ascii="Arial" w:hAnsi="Arial"/>
          <w:sz w:val="22"/>
        </w:rPr>
        <w:t>’</w:t>
      </w:r>
      <w:r w:rsidRPr="00C34EE5">
        <w:rPr>
          <w:rFonts w:ascii="Arial" w:hAnsi="Arial"/>
          <w:sz w:val="22"/>
        </w:rPr>
        <w:t>ils ont joué un rôle actif dans la planification et la réalisation du festival outre leur présence, étant donné que cet événement est régi par l</w:t>
      </w:r>
      <w:r w:rsidR="003008A9">
        <w:rPr>
          <w:rFonts w:ascii="Arial" w:hAnsi="Arial"/>
          <w:sz w:val="22"/>
        </w:rPr>
        <w:t>’</w:t>
      </w:r>
      <w:r w:rsidRPr="00C34EE5">
        <w:rPr>
          <w:rFonts w:ascii="Arial" w:hAnsi="Arial"/>
          <w:sz w:val="22"/>
        </w:rPr>
        <w:t>État et placé sous l</w:t>
      </w:r>
      <w:r w:rsidR="003008A9">
        <w:rPr>
          <w:rFonts w:ascii="Arial" w:hAnsi="Arial"/>
          <w:sz w:val="22"/>
        </w:rPr>
        <w:t>’</w:t>
      </w:r>
      <w:r w:rsidRPr="00C34EE5">
        <w:rPr>
          <w:rFonts w:ascii="Arial" w:hAnsi="Arial"/>
          <w:sz w:val="22"/>
        </w:rPr>
        <w:t>égide de la Garde nationale saoudienne. Plusieurs détenteurs du patrimoine ont exprimé leur consentement à la nomination d</w:t>
      </w:r>
      <w:r w:rsidR="003008A9">
        <w:rPr>
          <w:rFonts w:ascii="Arial" w:hAnsi="Arial"/>
          <w:sz w:val="22"/>
        </w:rPr>
        <w:t>’</w:t>
      </w:r>
      <w:r w:rsidRPr="00C34EE5">
        <w:rPr>
          <w:rFonts w:ascii="Arial" w:hAnsi="Arial"/>
          <w:sz w:val="22"/>
        </w:rPr>
        <w:t>Al-</w:t>
      </w:r>
      <w:proofErr w:type="spellStart"/>
      <w:r w:rsidRPr="00C34EE5">
        <w:rPr>
          <w:rFonts w:ascii="Arial" w:hAnsi="Arial"/>
          <w:sz w:val="22"/>
        </w:rPr>
        <w:t>Janadria</w:t>
      </w:r>
      <w:proofErr w:type="spellEnd"/>
      <w:r w:rsidRPr="00C34EE5">
        <w:rPr>
          <w:rFonts w:ascii="Arial" w:hAnsi="Arial"/>
          <w:sz w:val="22"/>
        </w:rPr>
        <w:t xml:space="preserve"> en tant que « </w:t>
      </w:r>
      <w:r w:rsidR="00747C87">
        <w:rPr>
          <w:rFonts w:ascii="Arial" w:hAnsi="Arial"/>
          <w:sz w:val="22"/>
        </w:rPr>
        <w:t>meilleure</w:t>
      </w:r>
      <w:r w:rsidRPr="00C34EE5">
        <w:rPr>
          <w:rFonts w:ascii="Arial" w:hAnsi="Arial"/>
          <w:sz w:val="22"/>
        </w:rPr>
        <w:t xml:space="preserve"> pratique de sauvegarde »</w:t>
      </w:r>
      <w:r w:rsidR="00747C87">
        <w:rPr>
          <w:rFonts w:ascii="Arial" w:hAnsi="Arial"/>
          <w:sz w:val="22"/>
        </w:rPr>
        <w:t>,</w:t>
      </w:r>
      <w:r w:rsidRPr="00C34EE5">
        <w:rPr>
          <w:rFonts w:ascii="Arial" w:hAnsi="Arial"/>
          <w:sz w:val="22"/>
        </w:rPr>
        <w:t xml:space="preserve"> même si le nombre de lettres de consentement semble faible au regard de la portée du festival.</w:t>
      </w:r>
    </w:p>
    <w:p w14:paraId="7D57D090" w14:textId="321EECC5"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P.6 :</w:t>
      </w:r>
      <w:r w:rsidRPr="00C34EE5">
        <w:tab/>
      </w:r>
      <w:r w:rsidRPr="00C34EE5">
        <w:rPr>
          <w:rFonts w:ascii="Arial" w:hAnsi="Arial"/>
          <w:sz w:val="22"/>
        </w:rPr>
        <w:t>Les informations fournies ne permettent pas de déterminer si le programme peut servir de modèle à l</w:t>
      </w:r>
      <w:r w:rsidR="003008A9">
        <w:rPr>
          <w:rFonts w:ascii="Arial" w:hAnsi="Arial"/>
          <w:sz w:val="22"/>
        </w:rPr>
        <w:t>’</w:t>
      </w:r>
      <w:r w:rsidRPr="00C34EE5">
        <w:rPr>
          <w:rFonts w:ascii="Arial" w:hAnsi="Arial"/>
          <w:sz w:val="22"/>
        </w:rPr>
        <w:t xml:space="preserve">échelle </w:t>
      </w:r>
      <w:proofErr w:type="spellStart"/>
      <w:r w:rsidRPr="00C34EE5">
        <w:rPr>
          <w:rFonts w:ascii="Arial" w:hAnsi="Arial"/>
          <w:sz w:val="22"/>
        </w:rPr>
        <w:t>sous-régionale</w:t>
      </w:r>
      <w:proofErr w:type="spellEnd"/>
      <w:r w:rsidRPr="00C34EE5">
        <w:rPr>
          <w:rFonts w:ascii="Arial" w:hAnsi="Arial"/>
          <w:sz w:val="22"/>
        </w:rPr>
        <w:t>, régionale ou internationale</w:t>
      </w:r>
      <w:r w:rsidR="00421541">
        <w:rPr>
          <w:rFonts w:ascii="Arial" w:hAnsi="Arial"/>
          <w:sz w:val="22"/>
        </w:rPr>
        <w:t xml:space="preserve"> en termes d’activités de sauvegarde</w:t>
      </w:r>
      <w:r w:rsidRPr="00C34EE5">
        <w:rPr>
          <w:rFonts w:ascii="Arial" w:hAnsi="Arial"/>
          <w:sz w:val="22"/>
        </w:rPr>
        <w:t>. Le dossier ne décrit pas clairement l</w:t>
      </w:r>
      <w:r w:rsidR="003008A9">
        <w:rPr>
          <w:rFonts w:ascii="Arial" w:hAnsi="Arial"/>
          <w:sz w:val="22"/>
        </w:rPr>
        <w:t>’</w:t>
      </w:r>
      <w:r w:rsidRPr="00C34EE5">
        <w:rPr>
          <w:rFonts w:ascii="Arial" w:hAnsi="Arial"/>
          <w:sz w:val="22"/>
        </w:rPr>
        <w:t>efficacité particulière de mesures de sauvegarde qui distingue</w:t>
      </w:r>
      <w:r w:rsidR="00747C87">
        <w:rPr>
          <w:rFonts w:ascii="Arial" w:hAnsi="Arial"/>
          <w:sz w:val="22"/>
        </w:rPr>
        <w:t>raie</w:t>
      </w:r>
      <w:r w:rsidRPr="00C34EE5">
        <w:rPr>
          <w:rFonts w:ascii="Arial" w:hAnsi="Arial"/>
          <w:sz w:val="22"/>
        </w:rPr>
        <w:t>nt Al-</w:t>
      </w:r>
      <w:proofErr w:type="spellStart"/>
      <w:r w:rsidRPr="00C34EE5">
        <w:rPr>
          <w:rFonts w:ascii="Arial" w:hAnsi="Arial"/>
          <w:sz w:val="22"/>
        </w:rPr>
        <w:t>Janadria</w:t>
      </w:r>
      <w:proofErr w:type="spellEnd"/>
      <w:r w:rsidRPr="00C34EE5">
        <w:rPr>
          <w:rFonts w:ascii="Arial" w:hAnsi="Arial"/>
          <w:sz w:val="22"/>
        </w:rPr>
        <w:t xml:space="preserve"> d</w:t>
      </w:r>
      <w:r w:rsidR="003008A9">
        <w:rPr>
          <w:rFonts w:ascii="Arial" w:hAnsi="Arial"/>
          <w:sz w:val="22"/>
        </w:rPr>
        <w:t>’</w:t>
      </w:r>
      <w:r w:rsidRPr="00C34EE5">
        <w:rPr>
          <w:rFonts w:ascii="Arial" w:hAnsi="Arial"/>
          <w:sz w:val="22"/>
        </w:rPr>
        <w:t>autres festivals culturels. Néanmoins, le projet sert déjà de modèle pour l</w:t>
      </w:r>
      <w:r w:rsidR="003008A9">
        <w:rPr>
          <w:rFonts w:ascii="Arial" w:hAnsi="Arial"/>
          <w:sz w:val="22"/>
        </w:rPr>
        <w:t>’</w:t>
      </w:r>
      <w:r w:rsidRPr="00C34EE5">
        <w:rPr>
          <w:rFonts w:ascii="Arial" w:hAnsi="Arial"/>
          <w:sz w:val="22"/>
        </w:rPr>
        <w:t>organisation d</w:t>
      </w:r>
      <w:r w:rsidR="003008A9">
        <w:rPr>
          <w:rFonts w:ascii="Arial" w:hAnsi="Arial"/>
          <w:sz w:val="22"/>
        </w:rPr>
        <w:t>’</w:t>
      </w:r>
      <w:r w:rsidRPr="00C34EE5">
        <w:rPr>
          <w:rFonts w:ascii="Arial" w:hAnsi="Arial"/>
          <w:sz w:val="22"/>
        </w:rPr>
        <w:t>évènements culturels similaires à l</w:t>
      </w:r>
      <w:r w:rsidR="003008A9">
        <w:rPr>
          <w:rFonts w:ascii="Arial" w:hAnsi="Arial"/>
          <w:sz w:val="22"/>
        </w:rPr>
        <w:t>’</w:t>
      </w:r>
      <w:r w:rsidRPr="00C34EE5">
        <w:rPr>
          <w:rFonts w:ascii="Arial" w:hAnsi="Arial"/>
          <w:sz w:val="22"/>
        </w:rPr>
        <w:t xml:space="preserve">échelle </w:t>
      </w:r>
      <w:proofErr w:type="spellStart"/>
      <w:r w:rsidRPr="00C34EE5">
        <w:rPr>
          <w:rFonts w:ascii="Arial" w:hAnsi="Arial"/>
          <w:sz w:val="22"/>
        </w:rPr>
        <w:t>sous-régionale</w:t>
      </w:r>
      <w:proofErr w:type="spellEnd"/>
      <w:r w:rsidRPr="00C34EE5">
        <w:rPr>
          <w:rFonts w:ascii="Arial" w:hAnsi="Arial"/>
          <w:sz w:val="22"/>
        </w:rPr>
        <w:t>.</w:t>
      </w:r>
    </w:p>
    <w:p w14:paraId="2CE9280A" w14:textId="1EE1141E" w:rsidR="00FD4D37" w:rsidRPr="00C34EE5" w:rsidRDefault="00FD4D37" w:rsidP="00F55A72">
      <w:pPr>
        <w:keepLines/>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P.7 :</w:t>
      </w:r>
      <w:r w:rsidRPr="00C34EE5">
        <w:tab/>
      </w:r>
      <w:r w:rsidRPr="00C34EE5">
        <w:rPr>
          <w:rFonts w:ascii="Arial" w:hAnsi="Arial"/>
          <w:sz w:val="22"/>
        </w:rPr>
        <w:t>Le dossier décrit en détail la volonté de toutes les parties prenantes concernées – ainsi que des artistes locaux et internationaux et des invités – de participer au festival et de diffuser leur patrimoine dans ce cadre. Toutefois, il ne contient aucune explication ou confirmation de leur volonté de diffuser activement la méthodologie qui sous-tend Al-</w:t>
      </w:r>
      <w:proofErr w:type="spellStart"/>
      <w:r w:rsidRPr="00C34EE5">
        <w:rPr>
          <w:rFonts w:ascii="Arial" w:hAnsi="Arial"/>
          <w:sz w:val="22"/>
        </w:rPr>
        <w:t>Janadria</w:t>
      </w:r>
      <w:proofErr w:type="spellEnd"/>
      <w:r w:rsidRPr="00C34EE5">
        <w:rPr>
          <w:rFonts w:ascii="Arial" w:hAnsi="Arial"/>
          <w:sz w:val="22"/>
        </w:rPr>
        <w:t xml:space="preserve"> au sei</w:t>
      </w:r>
      <w:r w:rsidR="009D7445">
        <w:rPr>
          <w:rFonts w:ascii="Arial" w:hAnsi="Arial"/>
          <w:sz w:val="22"/>
        </w:rPr>
        <w:t xml:space="preserve">n </w:t>
      </w:r>
      <w:r w:rsidR="00C7306A">
        <w:rPr>
          <w:rFonts w:ascii="Arial" w:hAnsi="Arial"/>
          <w:sz w:val="22"/>
        </w:rPr>
        <w:t xml:space="preserve">de </w:t>
      </w:r>
      <w:r w:rsidR="009D7445">
        <w:rPr>
          <w:rFonts w:ascii="Arial" w:hAnsi="Arial"/>
          <w:sz w:val="22"/>
        </w:rPr>
        <w:t>la communauté internationale.</w:t>
      </w:r>
    </w:p>
    <w:p w14:paraId="07B1C7B3" w14:textId="78E00962"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lastRenderedPageBreak/>
        <w:t>P.8 :</w:t>
      </w:r>
      <w:r w:rsidRPr="00C34EE5">
        <w:tab/>
      </w:r>
      <w:r w:rsidRPr="00C34EE5">
        <w:rPr>
          <w:rFonts w:ascii="Arial" w:hAnsi="Arial"/>
          <w:sz w:val="22"/>
        </w:rPr>
        <w:t>Les organisateurs du festival mettent tout en œuvre pour obtenir l</w:t>
      </w:r>
      <w:r w:rsidR="003008A9">
        <w:rPr>
          <w:rFonts w:ascii="Arial" w:hAnsi="Arial"/>
          <w:sz w:val="22"/>
        </w:rPr>
        <w:t>’</w:t>
      </w:r>
      <w:r w:rsidRPr="00C34EE5">
        <w:rPr>
          <w:rFonts w:ascii="Arial" w:hAnsi="Arial"/>
          <w:sz w:val="22"/>
        </w:rPr>
        <w:t>avis des visiteurs, participants et différents partenaires. Le suivi et l</w:t>
      </w:r>
      <w:r w:rsidR="003008A9">
        <w:rPr>
          <w:rFonts w:ascii="Arial" w:hAnsi="Arial"/>
          <w:sz w:val="22"/>
        </w:rPr>
        <w:t>’</w:t>
      </w:r>
      <w:r w:rsidRPr="00C34EE5">
        <w:rPr>
          <w:rFonts w:ascii="Arial" w:hAnsi="Arial"/>
          <w:sz w:val="22"/>
        </w:rPr>
        <w:t>évaluation sont assurés dans le cadre de partenariats avec des universités et des clubs littéraires.</w:t>
      </w:r>
      <w:r w:rsidR="00C7306A">
        <w:rPr>
          <w:rFonts w:ascii="Arial" w:hAnsi="Arial"/>
          <w:sz w:val="22"/>
        </w:rPr>
        <w:t xml:space="preserve"> Chaque année,</w:t>
      </w:r>
      <w:r w:rsidRPr="00C34EE5">
        <w:rPr>
          <w:rFonts w:ascii="Arial" w:hAnsi="Arial"/>
          <w:sz w:val="22"/>
        </w:rPr>
        <w:t xml:space="preserve"> </w:t>
      </w:r>
      <w:r w:rsidR="00C7306A">
        <w:rPr>
          <w:rFonts w:ascii="Arial" w:hAnsi="Arial"/>
          <w:sz w:val="22"/>
        </w:rPr>
        <w:t>l</w:t>
      </w:r>
      <w:r w:rsidRPr="00C34EE5">
        <w:rPr>
          <w:rFonts w:ascii="Arial" w:hAnsi="Arial"/>
          <w:sz w:val="22"/>
        </w:rPr>
        <w:t>a Garde nationale effectue également une évaluation. Le projet présente plusieurs exemples de résultats d</w:t>
      </w:r>
      <w:r w:rsidR="003008A9">
        <w:rPr>
          <w:rFonts w:ascii="Arial" w:hAnsi="Arial"/>
          <w:sz w:val="22"/>
        </w:rPr>
        <w:t>’</w:t>
      </w:r>
      <w:r w:rsidRPr="00C34EE5">
        <w:rPr>
          <w:rFonts w:ascii="Arial" w:hAnsi="Arial"/>
          <w:sz w:val="22"/>
        </w:rPr>
        <w:t>évaluations antérieures.</w:t>
      </w:r>
    </w:p>
    <w:p w14:paraId="4A46DD1E" w14:textId="4542C5DE"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P.9 :</w:t>
      </w:r>
      <w:r w:rsidRPr="00C34EE5">
        <w:tab/>
      </w:r>
      <w:r w:rsidRPr="00C34EE5">
        <w:rPr>
          <w:rFonts w:ascii="Arial" w:hAnsi="Arial"/>
          <w:sz w:val="22"/>
        </w:rPr>
        <w:t>Le festival pourrait être reprodu</w:t>
      </w:r>
      <w:r w:rsidR="00C7306A">
        <w:rPr>
          <w:rFonts w:ascii="Arial" w:hAnsi="Arial"/>
          <w:sz w:val="22"/>
        </w:rPr>
        <w:t>it</w:t>
      </w:r>
      <w:r w:rsidRPr="00C34EE5">
        <w:rPr>
          <w:rFonts w:ascii="Arial" w:hAnsi="Arial"/>
          <w:sz w:val="22"/>
        </w:rPr>
        <w:t xml:space="preserve"> dans des pays en développement si sa durée, son envergure et ses coûts étaient réduits. Les évènements annuels de ce type fournissent un revenu aux détenteurs du patrimoine. La présence et la participation de jeunes pourraient favoriser la diffusion de l</w:t>
      </w:r>
      <w:r w:rsidR="003008A9">
        <w:rPr>
          <w:rFonts w:ascii="Arial" w:hAnsi="Arial"/>
          <w:sz w:val="22"/>
        </w:rPr>
        <w:t>’</w:t>
      </w:r>
      <w:r w:rsidRPr="00C34EE5">
        <w:rPr>
          <w:rFonts w:ascii="Arial" w:hAnsi="Arial"/>
          <w:sz w:val="22"/>
        </w:rPr>
        <w:t>expérience et améliorer la communication entre les générations. Des festivals similaires à Al-</w:t>
      </w:r>
      <w:proofErr w:type="spellStart"/>
      <w:r w:rsidRPr="00C34EE5">
        <w:rPr>
          <w:rFonts w:ascii="Arial" w:hAnsi="Arial"/>
          <w:sz w:val="22"/>
        </w:rPr>
        <w:t>Janadria</w:t>
      </w:r>
      <w:proofErr w:type="spellEnd"/>
      <w:r w:rsidRPr="00C34EE5">
        <w:rPr>
          <w:rFonts w:ascii="Arial" w:hAnsi="Arial"/>
          <w:sz w:val="22"/>
        </w:rPr>
        <w:t xml:space="preserve"> pourraient renforcer les liens sociaux entre les communautés de différentes régions, le tout dans un</w:t>
      </w:r>
      <w:r w:rsidR="00617419">
        <w:rPr>
          <w:rFonts w:ascii="Arial" w:hAnsi="Arial"/>
          <w:sz w:val="22"/>
        </w:rPr>
        <w:t>e atmosphère</w:t>
      </w:r>
      <w:r w:rsidRPr="00C34EE5">
        <w:rPr>
          <w:rFonts w:ascii="Arial" w:hAnsi="Arial"/>
          <w:sz w:val="22"/>
        </w:rPr>
        <w:t xml:space="preserve"> de partage </w:t>
      </w:r>
      <w:r w:rsidR="00617419">
        <w:rPr>
          <w:rFonts w:ascii="Arial" w:hAnsi="Arial"/>
          <w:sz w:val="22"/>
        </w:rPr>
        <w:t xml:space="preserve">autour </w:t>
      </w:r>
      <w:r w:rsidRPr="00C34EE5">
        <w:rPr>
          <w:rFonts w:ascii="Arial" w:hAnsi="Arial"/>
          <w:sz w:val="22"/>
        </w:rPr>
        <w:t>des points communs et différences de leurs expressions culturelles.</w:t>
      </w:r>
    </w:p>
    <w:p w14:paraId="37B09C83" w14:textId="77777777" w:rsidR="00421541" w:rsidRPr="00CB297E" w:rsidRDefault="00373B56" w:rsidP="00373B56">
      <w:pPr>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C34EE5">
        <w:rPr>
          <w:rFonts w:ascii="Arial" w:hAnsi="Arial"/>
          <w:sz w:val="22"/>
          <w:u w:val="single"/>
        </w:rPr>
        <w:t>Décide de ne pas sélectionner</w:t>
      </w:r>
      <w:r w:rsidRPr="00C34EE5">
        <w:rPr>
          <w:rFonts w:ascii="Arial" w:hAnsi="Arial"/>
          <w:sz w:val="22"/>
        </w:rPr>
        <w:t xml:space="preserve"> </w:t>
      </w:r>
      <w:r w:rsidR="00C7306A">
        <w:rPr>
          <w:rFonts w:ascii="Arial" w:hAnsi="Arial"/>
          <w:b/>
          <w:sz w:val="22"/>
        </w:rPr>
        <w:t>L</w:t>
      </w:r>
      <w:r w:rsidRPr="00C34EE5">
        <w:rPr>
          <w:rFonts w:ascii="Arial" w:hAnsi="Arial"/>
          <w:b/>
          <w:sz w:val="22"/>
        </w:rPr>
        <w:t>e festival national du patrimoine et de la culture Al-</w:t>
      </w:r>
      <w:proofErr w:type="spellStart"/>
      <w:r w:rsidRPr="00C34EE5">
        <w:rPr>
          <w:rFonts w:ascii="Arial" w:hAnsi="Arial"/>
          <w:b/>
          <w:sz w:val="22"/>
        </w:rPr>
        <w:t>Janadria</w:t>
      </w:r>
      <w:proofErr w:type="spellEnd"/>
      <w:r w:rsidRPr="00C34EE5">
        <w:rPr>
          <w:rFonts w:ascii="Arial" w:hAnsi="Arial"/>
          <w:sz w:val="22"/>
        </w:rPr>
        <w:t xml:space="preserve"> comme programme, projet ou activité reflétant le mieux les principes et </w:t>
      </w:r>
      <w:r w:rsidRPr="00CB297E">
        <w:rPr>
          <w:rFonts w:ascii="Arial" w:hAnsi="Arial"/>
          <w:sz w:val="22"/>
        </w:rPr>
        <w:t>objectifs de la Convention</w:t>
      </w:r>
      <w:r w:rsidR="00421541" w:rsidRPr="00CB297E">
        <w:rPr>
          <w:rFonts w:ascii="Arial" w:hAnsi="Arial"/>
          <w:sz w:val="22"/>
        </w:rPr>
        <w:t> ;</w:t>
      </w:r>
    </w:p>
    <w:p w14:paraId="3F98300B" w14:textId="70257BB4" w:rsidR="00373B56" w:rsidRPr="002F2B20" w:rsidRDefault="00421541" w:rsidP="00090A04">
      <w:pPr>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CB297E">
        <w:rPr>
          <w:rFonts w:ascii="Arial" w:hAnsi="Arial"/>
          <w:sz w:val="22"/>
          <w:u w:val="single"/>
        </w:rPr>
        <w:t>Encourage</w:t>
      </w:r>
      <w:r w:rsidRPr="00EE24D3">
        <w:rPr>
          <w:rFonts w:ascii="Arial" w:hAnsi="Arial"/>
          <w:sz w:val="22"/>
        </w:rPr>
        <w:t xml:space="preserve"> l’État partie à promouvoir des festivals au niveau des </w:t>
      </w:r>
      <w:r w:rsidR="00090A04" w:rsidRPr="00EE24D3">
        <w:rPr>
          <w:rFonts w:ascii="Arial" w:hAnsi="Arial"/>
          <w:sz w:val="22"/>
        </w:rPr>
        <w:t>communautés mettant</w:t>
      </w:r>
      <w:r w:rsidR="00CB297E" w:rsidRPr="00EE24D3">
        <w:rPr>
          <w:rFonts w:ascii="Arial" w:hAnsi="Arial"/>
          <w:sz w:val="22"/>
        </w:rPr>
        <w:t xml:space="preserve"> l’accent</w:t>
      </w:r>
      <w:r w:rsidRPr="00EE24D3">
        <w:rPr>
          <w:rFonts w:ascii="Arial" w:hAnsi="Arial"/>
          <w:sz w:val="22"/>
        </w:rPr>
        <w:t xml:space="preserve"> sur le patrimoine vivant de</w:t>
      </w:r>
      <w:r w:rsidR="002F2B20">
        <w:rPr>
          <w:rFonts w:ascii="Arial" w:hAnsi="Arial"/>
          <w:sz w:val="22"/>
        </w:rPr>
        <w:t>s</w:t>
      </w:r>
      <w:r w:rsidR="00CB297E" w:rsidRPr="00EE24D3">
        <w:rPr>
          <w:rFonts w:ascii="Arial" w:hAnsi="Arial"/>
          <w:sz w:val="22"/>
        </w:rPr>
        <w:t xml:space="preserve"> </w:t>
      </w:r>
      <w:r w:rsidRPr="00EE24D3">
        <w:rPr>
          <w:rFonts w:ascii="Arial" w:hAnsi="Arial"/>
          <w:sz w:val="22"/>
        </w:rPr>
        <w:t>communautés</w:t>
      </w:r>
      <w:r w:rsidR="002F2B20">
        <w:rPr>
          <w:rFonts w:ascii="Arial" w:hAnsi="Arial"/>
          <w:sz w:val="22"/>
        </w:rPr>
        <w:t xml:space="preserve"> concernées</w:t>
      </w:r>
      <w:r w:rsidRPr="00EE24D3">
        <w:rPr>
          <w:rFonts w:ascii="Arial" w:hAnsi="Arial"/>
          <w:sz w:val="22"/>
        </w:rPr>
        <w:t xml:space="preserve">, puisque </w:t>
      </w:r>
      <w:r w:rsidR="00090A04">
        <w:rPr>
          <w:rFonts w:ascii="Arial" w:hAnsi="Arial"/>
          <w:sz w:val="22"/>
        </w:rPr>
        <w:t>l</w:t>
      </w:r>
      <w:r w:rsidRPr="00EE24D3">
        <w:rPr>
          <w:rFonts w:ascii="Arial" w:hAnsi="Arial"/>
          <w:sz w:val="22"/>
        </w:rPr>
        <w:t xml:space="preserve">e festival </w:t>
      </w:r>
      <w:r w:rsidR="00090A04" w:rsidRPr="00090A04">
        <w:rPr>
          <w:rFonts w:ascii="Arial" w:hAnsi="Arial"/>
          <w:sz w:val="22"/>
        </w:rPr>
        <w:t>Al-</w:t>
      </w:r>
      <w:proofErr w:type="spellStart"/>
      <w:r w:rsidR="00090A04" w:rsidRPr="00090A04">
        <w:rPr>
          <w:rFonts w:ascii="Arial" w:hAnsi="Arial"/>
          <w:sz w:val="22"/>
        </w:rPr>
        <w:t>Janadria</w:t>
      </w:r>
      <w:proofErr w:type="spellEnd"/>
      <w:r w:rsidR="00090A04">
        <w:rPr>
          <w:rFonts w:ascii="Arial" w:hAnsi="Arial"/>
          <w:sz w:val="22"/>
        </w:rPr>
        <w:t>,</w:t>
      </w:r>
      <w:r w:rsidR="00090A04" w:rsidRPr="00090A04">
        <w:rPr>
          <w:rFonts w:ascii="Arial" w:hAnsi="Arial"/>
          <w:sz w:val="22"/>
        </w:rPr>
        <w:t xml:space="preserve"> </w:t>
      </w:r>
      <w:r w:rsidRPr="00EE24D3">
        <w:rPr>
          <w:rFonts w:ascii="Arial" w:hAnsi="Arial"/>
          <w:sz w:val="22"/>
        </w:rPr>
        <w:t>dans sa forme actuelle</w:t>
      </w:r>
      <w:r w:rsidR="00090A04">
        <w:rPr>
          <w:rFonts w:ascii="Arial" w:hAnsi="Arial"/>
          <w:sz w:val="22"/>
        </w:rPr>
        <w:t>,</w:t>
      </w:r>
      <w:r w:rsidRPr="00EE24D3">
        <w:rPr>
          <w:rFonts w:ascii="Arial" w:hAnsi="Arial"/>
          <w:sz w:val="22"/>
        </w:rPr>
        <w:t xml:space="preserve"> décontextualise des éléments d</w:t>
      </w:r>
      <w:r w:rsidR="002F2B20">
        <w:rPr>
          <w:rFonts w:ascii="Arial" w:hAnsi="Arial"/>
          <w:sz w:val="22"/>
        </w:rPr>
        <w:t>u</w:t>
      </w:r>
      <w:r w:rsidRPr="00EE24D3">
        <w:rPr>
          <w:rFonts w:ascii="Arial" w:hAnsi="Arial"/>
          <w:sz w:val="22"/>
        </w:rPr>
        <w:t xml:space="preserve"> patrimoine culturel immatériel.</w:t>
      </w:r>
    </w:p>
    <w:p w14:paraId="08FC6537" w14:textId="3D8FFB9B" w:rsidR="00FD4D37" w:rsidRPr="00C34EE5" w:rsidRDefault="00373B56" w:rsidP="002930C4">
      <w:pPr>
        <w:keepNext/>
        <w:keepLines/>
        <w:spacing w:before="360" w:after="120"/>
        <w:ind w:left="1134" w:hanging="567"/>
        <w:outlineLvl w:val="0"/>
        <w:rPr>
          <w:rFonts w:ascii="Arial" w:eastAsia="SimSun" w:hAnsi="Arial" w:cs="Angsana New"/>
          <w:b/>
          <w:sz w:val="22"/>
          <w:szCs w:val="32"/>
        </w:rPr>
      </w:pPr>
      <w:bookmarkStart w:id="6" w:name="Decision_10c2"/>
      <w:bookmarkEnd w:id="6"/>
      <w:r w:rsidRPr="00C34EE5">
        <w:rPr>
          <w:rFonts w:ascii="Arial" w:hAnsi="Arial"/>
          <w:b/>
          <w:sz w:val="22"/>
        </w:rPr>
        <w:t>PROJET DE DÉCISION 13.COM 10.c.2</w:t>
      </w:r>
      <w:r w:rsidRPr="00C34EE5">
        <w:tab/>
      </w:r>
      <w:r w:rsidRPr="00C34EE5">
        <w:rPr>
          <w:rFonts w:ascii="Arial" w:hAnsi="Arial" w:cs="Arial"/>
          <w:noProof/>
          <w:color w:val="0000FF"/>
          <w:sz w:val="22"/>
          <w:szCs w:val="22"/>
          <w:lang w:val="en-US" w:eastAsia="en-US" w:bidi="ar-SA"/>
        </w:rPr>
        <w:drawing>
          <wp:inline distT="0" distB="0" distL="0" distR="0" wp14:anchorId="386CF2AC" wp14:editId="088B01A6">
            <wp:extent cx="104775" cy="104775"/>
            <wp:effectExtent l="0" t="0" r="9525" b="9525"/>
            <wp:docPr id="3"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5C3AA8C" w14:textId="1662AA66" w:rsidR="00FD4D37" w:rsidRPr="00C34EE5" w:rsidRDefault="00373B56" w:rsidP="00FD4D37">
      <w:pPr>
        <w:keepNext/>
        <w:tabs>
          <w:tab w:val="left" w:pos="567"/>
          <w:tab w:val="left" w:pos="1134"/>
          <w:tab w:val="left" w:pos="1701"/>
          <w:tab w:val="left" w:pos="2268"/>
        </w:tabs>
        <w:spacing w:before="120" w:after="120"/>
        <w:ind w:left="1134" w:hanging="567"/>
        <w:jc w:val="both"/>
        <w:rPr>
          <w:rFonts w:ascii="Arial" w:eastAsia="SimSun" w:hAnsi="Arial" w:cs="Arial"/>
          <w:sz w:val="22"/>
          <w:szCs w:val="22"/>
        </w:rPr>
      </w:pPr>
      <w:r w:rsidRPr="00C34EE5">
        <w:rPr>
          <w:rFonts w:ascii="Arial" w:hAnsi="Arial"/>
          <w:sz w:val="22"/>
        </w:rPr>
        <w:t>Le Comité</w:t>
      </w:r>
    </w:p>
    <w:p w14:paraId="4E72A635" w14:textId="1C686657" w:rsidR="00FD4D37" w:rsidRPr="009D7445" w:rsidRDefault="00373B56" w:rsidP="009D7445">
      <w:pPr>
        <w:numPr>
          <w:ilvl w:val="0"/>
          <w:numId w:val="17"/>
        </w:numPr>
        <w:tabs>
          <w:tab w:val="left" w:pos="1134"/>
          <w:tab w:val="left" w:pos="1701"/>
          <w:tab w:val="left" w:pos="2268"/>
        </w:tabs>
        <w:spacing w:before="120" w:after="120"/>
        <w:ind w:left="1134" w:hanging="567"/>
        <w:jc w:val="both"/>
        <w:rPr>
          <w:rFonts w:ascii="Arial" w:hAnsi="Arial" w:cs="Arial"/>
          <w:sz w:val="22"/>
          <w:szCs w:val="22"/>
        </w:rPr>
      </w:pPr>
      <w:r w:rsidRPr="00C34EE5">
        <w:rPr>
          <w:rFonts w:ascii="Arial" w:hAnsi="Arial"/>
          <w:sz w:val="22"/>
          <w:u w:val="single"/>
        </w:rPr>
        <w:t>Prend note</w:t>
      </w:r>
      <w:r w:rsidRPr="00C34EE5">
        <w:rPr>
          <w:rFonts w:ascii="Arial" w:hAnsi="Arial"/>
          <w:sz w:val="22"/>
        </w:rPr>
        <w:t xml:space="preserve"> que la Suède a proposé </w:t>
      </w:r>
      <w:r w:rsidR="004F6993">
        <w:rPr>
          <w:rFonts w:ascii="Arial" w:hAnsi="Arial"/>
          <w:b/>
          <w:sz w:val="22"/>
        </w:rPr>
        <w:t>L</w:t>
      </w:r>
      <w:r w:rsidRPr="00C34EE5">
        <w:rPr>
          <w:rFonts w:ascii="Arial" w:hAnsi="Arial"/>
          <w:b/>
          <w:sz w:val="22"/>
        </w:rPr>
        <w:t xml:space="preserve">e programme </w:t>
      </w:r>
      <w:r w:rsidR="009D7445">
        <w:rPr>
          <w:rFonts w:ascii="Arial" w:hAnsi="Arial"/>
          <w:b/>
          <w:sz w:val="22"/>
        </w:rPr>
        <w:t>« </w:t>
      </w:r>
      <w:r w:rsidRPr="00C34EE5">
        <w:rPr>
          <w:rFonts w:ascii="Arial" w:hAnsi="Arial"/>
          <w:b/>
          <w:sz w:val="22"/>
        </w:rPr>
        <w:t>Terre des légendes »</w:t>
      </w:r>
      <w:r w:rsidR="004F6993">
        <w:rPr>
          <w:rFonts w:ascii="Arial" w:hAnsi="Arial"/>
          <w:b/>
          <w:sz w:val="22"/>
        </w:rPr>
        <w:t xml:space="preserve"> </w:t>
      </w:r>
      <w:r w:rsidRPr="00C34EE5">
        <w:rPr>
          <w:rFonts w:ascii="Arial" w:hAnsi="Arial"/>
          <w:b/>
          <w:sz w:val="22"/>
        </w:rPr>
        <w:t>pour promouvoir et redynamiser l</w:t>
      </w:r>
      <w:r w:rsidR="003008A9">
        <w:rPr>
          <w:rFonts w:ascii="Arial" w:hAnsi="Arial"/>
          <w:b/>
          <w:sz w:val="22"/>
        </w:rPr>
        <w:t>’</w:t>
      </w:r>
      <w:r w:rsidRPr="00C34EE5">
        <w:rPr>
          <w:rFonts w:ascii="Arial" w:hAnsi="Arial"/>
          <w:b/>
          <w:sz w:val="22"/>
        </w:rPr>
        <w:t>art du conte dans le comté de Kronoberg (sud de la Suède)</w:t>
      </w:r>
      <w:r w:rsidRPr="00C34EE5">
        <w:rPr>
          <w:rFonts w:ascii="Arial" w:hAnsi="Arial"/>
          <w:sz w:val="22"/>
        </w:rPr>
        <w:t xml:space="preserve"> (n° 01392) pour sélection et promotion par le Comité comme programme, projet ou activité reflétant le mieux les principes et objectifs de la Convention :</w:t>
      </w:r>
    </w:p>
    <w:p w14:paraId="1F5F27EE" w14:textId="6C2AE89A" w:rsidR="00FD4D37" w:rsidRPr="003008A9" w:rsidRDefault="003008A9" w:rsidP="003008A9">
      <w:pPr>
        <w:tabs>
          <w:tab w:val="left" w:pos="1134"/>
          <w:tab w:val="left" w:pos="1701"/>
          <w:tab w:val="left" w:pos="2268"/>
        </w:tabs>
        <w:spacing w:before="120" w:after="120"/>
        <w:ind w:left="1134"/>
        <w:jc w:val="both"/>
        <w:rPr>
          <w:rFonts w:ascii="Arial" w:hAnsi="Arial" w:cs="Arial"/>
          <w:sz w:val="22"/>
          <w:szCs w:val="22"/>
        </w:rPr>
      </w:pPr>
      <w:r w:rsidRPr="003008A9">
        <w:rPr>
          <w:rFonts w:ascii="Arial" w:hAnsi="Arial"/>
          <w:sz w:val="22"/>
        </w:rPr>
        <w:t>Le programme « Terre des légendes » vise à promouvoir et revitaliser l</w:t>
      </w:r>
      <w:r>
        <w:rPr>
          <w:rFonts w:ascii="Arial" w:hAnsi="Arial"/>
          <w:sz w:val="22"/>
        </w:rPr>
        <w:t>’</w:t>
      </w:r>
      <w:r w:rsidRPr="003008A9">
        <w:rPr>
          <w:rFonts w:ascii="Arial" w:hAnsi="Arial"/>
          <w:sz w:val="22"/>
        </w:rPr>
        <w:t>art du conte dans la région du Kronoberg, au sud de la Suède. En Suède, comme ailleurs, des facteurs tels que l</w:t>
      </w:r>
      <w:r>
        <w:rPr>
          <w:rFonts w:ascii="Arial" w:hAnsi="Arial"/>
          <w:sz w:val="22"/>
        </w:rPr>
        <w:t>’</w:t>
      </w:r>
      <w:r w:rsidRPr="003008A9">
        <w:rPr>
          <w:rFonts w:ascii="Arial" w:hAnsi="Arial"/>
          <w:sz w:val="22"/>
        </w:rPr>
        <w:t>industrialisation, l</w:t>
      </w:r>
      <w:r>
        <w:rPr>
          <w:rFonts w:ascii="Arial" w:hAnsi="Arial"/>
          <w:sz w:val="22"/>
        </w:rPr>
        <w:t>’</w:t>
      </w:r>
      <w:r w:rsidRPr="003008A9">
        <w:rPr>
          <w:rFonts w:ascii="Arial" w:hAnsi="Arial"/>
          <w:sz w:val="22"/>
        </w:rPr>
        <w:t>urbanisation, la télévision et les réseaux sociaux ont conduit à la disparition des lieux traditionnellement dédiés au conte et de</w:t>
      </w:r>
      <w:r w:rsidR="001153DF">
        <w:rPr>
          <w:rFonts w:ascii="Arial" w:hAnsi="Arial"/>
          <w:sz w:val="22"/>
        </w:rPr>
        <w:t xml:space="preserve"> se</w:t>
      </w:r>
      <w:r w:rsidRPr="003008A9">
        <w:rPr>
          <w:rFonts w:ascii="Arial" w:hAnsi="Arial"/>
          <w:sz w:val="22"/>
        </w:rPr>
        <w:t>s modes de transmission. La pratique de l</w:t>
      </w:r>
      <w:r>
        <w:rPr>
          <w:rFonts w:ascii="Arial" w:hAnsi="Arial"/>
          <w:sz w:val="22"/>
        </w:rPr>
        <w:t>’</w:t>
      </w:r>
      <w:r w:rsidRPr="003008A9">
        <w:rPr>
          <w:rFonts w:ascii="Arial" w:hAnsi="Arial"/>
          <w:sz w:val="22"/>
        </w:rPr>
        <w:t>art du conte pour échanger des expériences et transmettre des connaissances et des valeurs est en voie de disparition. À la fin des années 1980, plusieurs bibliothécaires et enseignants de la région du Kronoberg ont organisé un festival réunissant des praticiens, des amateurs de contes et des experts originaires de différentes régions de Suède afin d</w:t>
      </w:r>
      <w:r>
        <w:rPr>
          <w:rFonts w:ascii="Arial" w:hAnsi="Arial"/>
          <w:sz w:val="22"/>
        </w:rPr>
        <w:t>’</w:t>
      </w:r>
      <w:r w:rsidRPr="003008A9">
        <w:rPr>
          <w:rFonts w:ascii="Arial" w:hAnsi="Arial"/>
          <w:sz w:val="22"/>
        </w:rPr>
        <w:t>échanger sur la situation et d</w:t>
      </w:r>
      <w:r>
        <w:rPr>
          <w:rFonts w:ascii="Arial" w:hAnsi="Arial"/>
          <w:sz w:val="22"/>
        </w:rPr>
        <w:t>’</w:t>
      </w:r>
      <w:r w:rsidRPr="003008A9">
        <w:rPr>
          <w:rFonts w:ascii="Arial" w:hAnsi="Arial"/>
          <w:sz w:val="22"/>
        </w:rPr>
        <w:t>envisager de possibles solutions. Peu de temps après, en novembre 1990, le Réseau des conteurs du Kronoberg (connu sous le nom de « l</w:t>
      </w:r>
      <w:r>
        <w:rPr>
          <w:rFonts w:ascii="Arial" w:hAnsi="Arial"/>
          <w:sz w:val="22"/>
        </w:rPr>
        <w:t>’</w:t>
      </w:r>
      <w:r w:rsidRPr="003008A9">
        <w:rPr>
          <w:rFonts w:ascii="Arial" w:hAnsi="Arial"/>
          <w:sz w:val="22"/>
        </w:rPr>
        <w:t>Association ») a été créé afin de sensibiliser le plus grand nombre à la viabilité menacée de l</w:t>
      </w:r>
      <w:r>
        <w:rPr>
          <w:rFonts w:ascii="Arial" w:hAnsi="Arial"/>
          <w:sz w:val="22"/>
        </w:rPr>
        <w:t>’</w:t>
      </w:r>
      <w:r w:rsidRPr="003008A9">
        <w:rPr>
          <w:rFonts w:ascii="Arial" w:hAnsi="Arial"/>
          <w:sz w:val="22"/>
        </w:rPr>
        <w:t>art du conte et élaborer des mesures pour le revitaliser. L</w:t>
      </w:r>
      <w:r>
        <w:rPr>
          <w:rFonts w:ascii="Arial" w:hAnsi="Arial"/>
          <w:sz w:val="22"/>
        </w:rPr>
        <w:t>’</w:t>
      </w:r>
      <w:r w:rsidRPr="003008A9">
        <w:rPr>
          <w:rFonts w:ascii="Arial" w:hAnsi="Arial"/>
          <w:sz w:val="22"/>
        </w:rPr>
        <w:t>Association a lancé le programme « Terre des légendes » qui met en œuvre toute une série d</w:t>
      </w:r>
      <w:r>
        <w:rPr>
          <w:rFonts w:ascii="Arial" w:hAnsi="Arial"/>
          <w:sz w:val="22"/>
        </w:rPr>
        <w:t>’</w:t>
      </w:r>
      <w:r w:rsidRPr="003008A9">
        <w:rPr>
          <w:rFonts w:ascii="Arial" w:hAnsi="Arial"/>
          <w:sz w:val="22"/>
        </w:rPr>
        <w:t>initiatives dont un festival de contes, des camps pour adolescents, des activités dans les écoles et les universités, des cours pour les futurs enseignants et des activités thérapeutiques. Au fil du temps, des contacts ont été établis à l</w:t>
      </w:r>
      <w:r>
        <w:rPr>
          <w:rFonts w:ascii="Arial" w:hAnsi="Arial"/>
          <w:sz w:val="22"/>
        </w:rPr>
        <w:t>’</w:t>
      </w:r>
      <w:r w:rsidRPr="003008A9">
        <w:rPr>
          <w:rFonts w:ascii="Arial" w:hAnsi="Arial"/>
          <w:sz w:val="22"/>
        </w:rPr>
        <w:t>étranger et plusieurs aspects du programme ont servi de modèle pour des activités mises en œuvre ailleurs. Le programme associe l</w:t>
      </w:r>
      <w:r>
        <w:rPr>
          <w:rFonts w:ascii="Arial" w:hAnsi="Arial"/>
          <w:sz w:val="22"/>
        </w:rPr>
        <w:t>’</w:t>
      </w:r>
      <w:r w:rsidRPr="003008A9">
        <w:rPr>
          <w:rFonts w:ascii="Arial" w:hAnsi="Arial"/>
          <w:sz w:val="22"/>
        </w:rPr>
        <w:t>art du conte à d</w:t>
      </w:r>
      <w:r>
        <w:rPr>
          <w:rFonts w:ascii="Arial" w:hAnsi="Arial"/>
          <w:sz w:val="22"/>
        </w:rPr>
        <w:t>’</w:t>
      </w:r>
      <w:r w:rsidRPr="003008A9">
        <w:rPr>
          <w:rFonts w:ascii="Arial" w:hAnsi="Arial"/>
          <w:sz w:val="22"/>
        </w:rPr>
        <w:t>autres formes de patrimoine vivant, permettant ainsi sa revitalisation et sa promotion en tant qu</w:t>
      </w:r>
      <w:r>
        <w:rPr>
          <w:rFonts w:ascii="Arial" w:hAnsi="Arial"/>
          <w:sz w:val="22"/>
        </w:rPr>
        <w:t>’</w:t>
      </w:r>
      <w:r w:rsidRPr="003008A9">
        <w:rPr>
          <w:rFonts w:ascii="Arial" w:hAnsi="Arial"/>
          <w:sz w:val="22"/>
        </w:rPr>
        <w:t>art vivant.</w:t>
      </w:r>
    </w:p>
    <w:p w14:paraId="4F81A26A" w14:textId="452A4359" w:rsidR="00373B56" w:rsidRPr="00C34EE5" w:rsidRDefault="00373B56" w:rsidP="003008A9">
      <w:pPr>
        <w:keepNext/>
        <w:numPr>
          <w:ilvl w:val="0"/>
          <w:numId w:val="17"/>
        </w:numPr>
        <w:tabs>
          <w:tab w:val="left" w:pos="567"/>
          <w:tab w:val="left" w:pos="1134"/>
          <w:tab w:val="left" w:pos="1701"/>
          <w:tab w:val="left" w:pos="2268"/>
        </w:tabs>
        <w:spacing w:before="120" w:after="120"/>
        <w:ind w:left="1134" w:hanging="567"/>
        <w:jc w:val="both"/>
        <w:rPr>
          <w:rFonts w:ascii="Arial" w:hAnsi="Arial" w:cs="Arial"/>
          <w:sz w:val="22"/>
          <w:szCs w:val="22"/>
        </w:rPr>
      </w:pPr>
      <w:r w:rsidRPr="00C34EE5">
        <w:rPr>
          <w:rFonts w:ascii="Arial" w:hAnsi="Arial"/>
          <w:sz w:val="22"/>
          <w:u w:val="single"/>
        </w:rPr>
        <w:t>Décide</w:t>
      </w:r>
      <w:r w:rsidRPr="00C34EE5">
        <w:rPr>
          <w:rFonts w:ascii="Arial" w:hAnsi="Arial"/>
          <w:sz w:val="22"/>
        </w:rPr>
        <w:t xml:space="preserve"> que, d</w:t>
      </w:r>
      <w:r w:rsidR="003008A9">
        <w:rPr>
          <w:rFonts w:ascii="Arial" w:hAnsi="Arial"/>
          <w:sz w:val="22"/>
        </w:rPr>
        <w:t>’</w:t>
      </w:r>
      <w:r w:rsidRPr="00C34EE5">
        <w:rPr>
          <w:rFonts w:ascii="Arial" w:hAnsi="Arial"/>
          <w:sz w:val="22"/>
        </w:rPr>
        <w:t>après l</w:t>
      </w:r>
      <w:r w:rsidR="004F6993">
        <w:rPr>
          <w:rFonts w:ascii="Arial" w:hAnsi="Arial"/>
          <w:sz w:val="22"/>
        </w:rPr>
        <w:t>’</w:t>
      </w:r>
      <w:r w:rsidRPr="00C34EE5">
        <w:rPr>
          <w:rFonts w:ascii="Arial" w:hAnsi="Arial"/>
          <w:sz w:val="22"/>
        </w:rPr>
        <w:t>information contenue dans le dossier, le programme répond comme suit aux critères énoncés au paragraphe 7 des Directives opérationnelles concernant la sélection en tant que bonne pratique de sauvegarde :</w:t>
      </w:r>
    </w:p>
    <w:p w14:paraId="2863DF12" w14:textId="302BDF09"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P.1 :</w:t>
      </w:r>
      <w:r w:rsidRPr="00C34EE5">
        <w:tab/>
      </w:r>
      <w:r w:rsidRPr="00C34EE5">
        <w:rPr>
          <w:rFonts w:ascii="Arial" w:hAnsi="Arial"/>
          <w:sz w:val="22"/>
        </w:rPr>
        <w:t xml:space="preserve">Ce programme a été lancé après une analyse détaillée </w:t>
      </w:r>
      <w:r w:rsidR="00400413">
        <w:rPr>
          <w:rFonts w:ascii="Arial" w:hAnsi="Arial"/>
          <w:sz w:val="22"/>
        </w:rPr>
        <w:t>de</w:t>
      </w:r>
      <w:r w:rsidR="00400413" w:rsidRPr="00C34EE5">
        <w:rPr>
          <w:rFonts w:ascii="Arial" w:hAnsi="Arial"/>
          <w:sz w:val="22"/>
        </w:rPr>
        <w:t xml:space="preserve"> </w:t>
      </w:r>
      <w:r w:rsidRPr="00C34EE5">
        <w:rPr>
          <w:rFonts w:ascii="Arial" w:hAnsi="Arial"/>
          <w:sz w:val="22"/>
        </w:rPr>
        <w:t>la viabilité de l</w:t>
      </w:r>
      <w:r w:rsidR="003008A9">
        <w:rPr>
          <w:rFonts w:ascii="Arial" w:hAnsi="Arial"/>
          <w:sz w:val="22"/>
        </w:rPr>
        <w:t>’</w:t>
      </w:r>
      <w:r w:rsidRPr="00C34EE5">
        <w:rPr>
          <w:rFonts w:ascii="Arial" w:hAnsi="Arial"/>
          <w:sz w:val="22"/>
        </w:rPr>
        <w:t xml:space="preserve">art du conte dans le pays, et de nombreuses discussions concernant les moyens appropriés pour le </w:t>
      </w:r>
      <w:r w:rsidR="00494970" w:rsidRPr="00C34EE5">
        <w:rPr>
          <w:rFonts w:ascii="Arial" w:hAnsi="Arial"/>
          <w:sz w:val="22"/>
        </w:rPr>
        <w:t>re</w:t>
      </w:r>
      <w:r w:rsidR="00494970">
        <w:rPr>
          <w:rFonts w:ascii="Arial" w:hAnsi="Arial"/>
          <w:sz w:val="22"/>
        </w:rPr>
        <w:t>vital</w:t>
      </w:r>
      <w:r w:rsidR="00494970" w:rsidRPr="00C34EE5">
        <w:rPr>
          <w:rFonts w:ascii="Arial" w:hAnsi="Arial"/>
          <w:sz w:val="22"/>
        </w:rPr>
        <w:t>iser</w:t>
      </w:r>
      <w:r w:rsidRPr="00C34EE5">
        <w:rPr>
          <w:rFonts w:ascii="Arial" w:hAnsi="Arial"/>
          <w:sz w:val="22"/>
        </w:rPr>
        <w:t xml:space="preserve">. Un système complet de mesures de sauvegarde a </w:t>
      </w:r>
      <w:r w:rsidRPr="00C34EE5">
        <w:rPr>
          <w:rFonts w:ascii="Arial" w:hAnsi="Arial"/>
          <w:sz w:val="22"/>
        </w:rPr>
        <w:lastRenderedPageBreak/>
        <w:t>été créé par les membres de la communauté locale qui ont redynamisé l</w:t>
      </w:r>
      <w:r w:rsidR="003008A9">
        <w:rPr>
          <w:rFonts w:ascii="Arial" w:hAnsi="Arial"/>
          <w:sz w:val="22"/>
        </w:rPr>
        <w:t>’</w:t>
      </w:r>
      <w:r w:rsidRPr="00C34EE5">
        <w:rPr>
          <w:rFonts w:ascii="Arial" w:hAnsi="Arial"/>
          <w:sz w:val="22"/>
        </w:rPr>
        <w:t>art du conte, formé de nouveaux conteurs et transformé l</w:t>
      </w:r>
      <w:r w:rsidR="003008A9">
        <w:rPr>
          <w:rFonts w:ascii="Arial" w:hAnsi="Arial"/>
          <w:sz w:val="22"/>
        </w:rPr>
        <w:t>’</w:t>
      </w:r>
      <w:r w:rsidRPr="00C34EE5">
        <w:rPr>
          <w:rFonts w:ascii="Arial" w:hAnsi="Arial"/>
          <w:sz w:val="22"/>
        </w:rPr>
        <w:t>art du conte en un moyen important de conserver la mémoire collective et de faire face aux traumatismes et aux probl</w:t>
      </w:r>
      <w:r w:rsidR="00D80C9C">
        <w:rPr>
          <w:rFonts w:ascii="Arial" w:hAnsi="Arial"/>
          <w:sz w:val="22"/>
        </w:rPr>
        <w:t>èmes sociaux et psychologiques.</w:t>
      </w:r>
    </w:p>
    <w:p w14:paraId="1A718138" w14:textId="3FA5053A"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P.2 :</w:t>
      </w:r>
      <w:r w:rsidRPr="00C34EE5">
        <w:tab/>
      </w:r>
      <w:r w:rsidRPr="00C34EE5">
        <w:rPr>
          <w:rFonts w:ascii="Arial" w:hAnsi="Arial"/>
          <w:sz w:val="22"/>
        </w:rPr>
        <w:t>Le programme s</w:t>
      </w:r>
      <w:r w:rsidR="003008A9">
        <w:rPr>
          <w:rFonts w:ascii="Arial" w:hAnsi="Arial"/>
          <w:sz w:val="22"/>
        </w:rPr>
        <w:t>’</w:t>
      </w:r>
      <w:r w:rsidRPr="00C34EE5">
        <w:rPr>
          <w:rFonts w:ascii="Arial" w:hAnsi="Arial"/>
          <w:sz w:val="22"/>
        </w:rPr>
        <w:t>est étendu à d</w:t>
      </w:r>
      <w:r w:rsidR="003008A9">
        <w:rPr>
          <w:rFonts w:ascii="Arial" w:hAnsi="Arial"/>
          <w:sz w:val="22"/>
        </w:rPr>
        <w:t>’</w:t>
      </w:r>
      <w:r w:rsidRPr="00C34EE5">
        <w:rPr>
          <w:rFonts w:ascii="Arial" w:hAnsi="Arial"/>
          <w:sz w:val="22"/>
        </w:rPr>
        <w:t>autres régions de Suède ainsi qu</w:t>
      </w:r>
      <w:r w:rsidR="003008A9">
        <w:rPr>
          <w:rFonts w:ascii="Arial" w:hAnsi="Arial"/>
          <w:sz w:val="22"/>
        </w:rPr>
        <w:t>’</w:t>
      </w:r>
      <w:r w:rsidRPr="00C34EE5">
        <w:rPr>
          <w:rFonts w:ascii="Arial" w:hAnsi="Arial"/>
          <w:sz w:val="22"/>
        </w:rPr>
        <w:t>à d</w:t>
      </w:r>
      <w:r w:rsidR="003008A9">
        <w:rPr>
          <w:rFonts w:ascii="Arial" w:hAnsi="Arial"/>
          <w:sz w:val="22"/>
        </w:rPr>
        <w:t>’</w:t>
      </w:r>
      <w:r w:rsidRPr="00C34EE5">
        <w:rPr>
          <w:rFonts w:ascii="Arial" w:hAnsi="Arial"/>
          <w:sz w:val="22"/>
        </w:rPr>
        <w:t xml:space="preserve">autres pays nordiques ; des conteurs de différents continents ont été invités à des festivals du conte </w:t>
      </w:r>
      <w:r w:rsidR="00494970">
        <w:rPr>
          <w:rFonts w:ascii="Arial" w:hAnsi="Arial"/>
          <w:sz w:val="22"/>
        </w:rPr>
        <w:t>en Suède</w:t>
      </w:r>
      <w:r w:rsidRPr="00C34EE5">
        <w:rPr>
          <w:rFonts w:ascii="Arial" w:hAnsi="Arial"/>
          <w:sz w:val="22"/>
        </w:rPr>
        <w:t>. Beaucoup de réseaux se sont formés, et des activités conjointes ont été organisées, parmi lesquelles des camps d</w:t>
      </w:r>
      <w:r w:rsidR="003008A9">
        <w:rPr>
          <w:rFonts w:ascii="Arial" w:hAnsi="Arial"/>
          <w:sz w:val="22"/>
        </w:rPr>
        <w:t>’</w:t>
      </w:r>
      <w:r w:rsidRPr="00C34EE5">
        <w:rPr>
          <w:rFonts w:ascii="Arial" w:hAnsi="Arial"/>
          <w:sz w:val="22"/>
        </w:rPr>
        <w:t xml:space="preserve">été pour les jeunes des pays nordiques. Le programme promeut clairement la coordination aux niveaux national et </w:t>
      </w:r>
      <w:proofErr w:type="spellStart"/>
      <w:r w:rsidRPr="00C34EE5">
        <w:rPr>
          <w:rFonts w:ascii="Arial" w:hAnsi="Arial"/>
          <w:sz w:val="22"/>
        </w:rPr>
        <w:t>sous-régional</w:t>
      </w:r>
      <w:proofErr w:type="spellEnd"/>
      <w:r w:rsidRPr="00C34EE5">
        <w:rPr>
          <w:rFonts w:ascii="Arial" w:hAnsi="Arial"/>
          <w:sz w:val="22"/>
        </w:rPr>
        <w:t>, le partage d</w:t>
      </w:r>
      <w:r w:rsidR="003008A9">
        <w:rPr>
          <w:rFonts w:ascii="Arial" w:hAnsi="Arial"/>
          <w:sz w:val="22"/>
        </w:rPr>
        <w:t>’</w:t>
      </w:r>
      <w:r w:rsidRPr="00C34EE5">
        <w:rPr>
          <w:rFonts w:ascii="Arial" w:hAnsi="Arial"/>
          <w:sz w:val="22"/>
        </w:rPr>
        <w:t>expérience</w:t>
      </w:r>
      <w:r w:rsidR="00494970">
        <w:rPr>
          <w:rFonts w:ascii="Arial" w:hAnsi="Arial"/>
          <w:sz w:val="22"/>
        </w:rPr>
        <w:t>s</w:t>
      </w:r>
      <w:r w:rsidRPr="00C34EE5">
        <w:rPr>
          <w:rFonts w:ascii="Arial" w:hAnsi="Arial"/>
          <w:sz w:val="22"/>
        </w:rPr>
        <w:t xml:space="preserve"> et la </w:t>
      </w:r>
      <w:r w:rsidR="003008A9">
        <w:rPr>
          <w:rFonts w:ascii="Arial" w:hAnsi="Arial"/>
          <w:sz w:val="22"/>
        </w:rPr>
        <w:t>coopération internationale.</w:t>
      </w:r>
    </w:p>
    <w:p w14:paraId="0F77065B" w14:textId="1CDA1F99"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P.3 :</w:t>
      </w:r>
      <w:r w:rsidRPr="00C34EE5">
        <w:tab/>
      </w:r>
      <w:r w:rsidRPr="00C34EE5">
        <w:rPr>
          <w:rFonts w:ascii="Arial" w:hAnsi="Arial"/>
          <w:sz w:val="22"/>
        </w:rPr>
        <w:t xml:space="preserve">Le programme « Terre des légendes » concerne le domaine fragile des traditions orales, car le conte et les arts oraux en général peuvent succomber très facilement à une perte rapide, à la </w:t>
      </w:r>
      <w:proofErr w:type="spellStart"/>
      <w:r w:rsidRPr="00C34EE5">
        <w:rPr>
          <w:rFonts w:ascii="Arial" w:hAnsi="Arial"/>
          <w:sz w:val="22"/>
        </w:rPr>
        <w:t>folklorisation</w:t>
      </w:r>
      <w:proofErr w:type="spellEnd"/>
      <w:r w:rsidRPr="00C34EE5">
        <w:rPr>
          <w:rFonts w:ascii="Arial" w:hAnsi="Arial"/>
          <w:sz w:val="22"/>
        </w:rPr>
        <w:t xml:space="preserve"> ou </w:t>
      </w:r>
      <w:proofErr w:type="gramStart"/>
      <w:r w:rsidRPr="00C34EE5">
        <w:rPr>
          <w:rFonts w:ascii="Arial" w:hAnsi="Arial"/>
          <w:sz w:val="22"/>
        </w:rPr>
        <w:t>à la commercialisation causées</w:t>
      </w:r>
      <w:proofErr w:type="gramEnd"/>
      <w:r w:rsidRPr="00C34EE5">
        <w:rPr>
          <w:rFonts w:ascii="Arial" w:hAnsi="Arial"/>
          <w:sz w:val="22"/>
        </w:rPr>
        <w:t xml:space="preserve"> par l</w:t>
      </w:r>
      <w:r w:rsidR="003008A9">
        <w:rPr>
          <w:rFonts w:ascii="Arial" w:hAnsi="Arial"/>
          <w:sz w:val="22"/>
        </w:rPr>
        <w:t>’</w:t>
      </w:r>
      <w:r w:rsidRPr="00C34EE5">
        <w:rPr>
          <w:rFonts w:ascii="Arial" w:hAnsi="Arial"/>
          <w:sz w:val="22"/>
        </w:rPr>
        <w:t>abandon des modes de vie traditionnels, la mondialisation et l</w:t>
      </w:r>
      <w:r w:rsidR="003008A9">
        <w:rPr>
          <w:rFonts w:ascii="Arial" w:hAnsi="Arial"/>
          <w:sz w:val="22"/>
        </w:rPr>
        <w:t>’</w:t>
      </w:r>
      <w:r w:rsidRPr="00C34EE5">
        <w:rPr>
          <w:rFonts w:ascii="Arial" w:hAnsi="Arial"/>
          <w:sz w:val="22"/>
        </w:rPr>
        <w:t>impact des médias modernes. Les mesures de sauvegarde traduisent pleinement</w:t>
      </w:r>
      <w:r w:rsidR="007F67AE">
        <w:rPr>
          <w:rFonts w:ascii="Arial" w:hAnsi="Arial"/>
          <w:sz w:val="22"/>
        </w:rPr>
        <w:t xml:space="preserve"> les objectifs de la Convention </w:t>
      </w:r>
      <w:r w:rsidRPr="00C34EE5">
        <w:rPr>
          <w:rFonts w:ascii="Arial" w:hAnsi="Arial"/>
          <w:sz w:val="22"/>
        </w:rPr>
        <w:t>: elles sont portées par la communauté, redynamisent systématiquement l</w:t>
      </w:r>
      <w:r w:rsidR="003008A9">
        <w:rPr>
          <w:rFonts w:ascii="Arial" w:hAnsi="Arial"/>
          <w:sz w:val="22"/>
        </w:rPr>
        <w:t>’</w:t>
      </w:r>
      <w:r w:rsidRPr="00C34EE5">
        <w:rPr>
          <w:rFonts w:ascii="Arial" w:hAnsi="Arial"/>
          <w:sz w:val="22"/>
        </w:rPr>
        <w:t>élément, garantissent sa viabilité et son développement durable, impliquent une transmission ininterrompue, promeuvent le respect de la créativité humaine, renforcent les liens sociaux et le respect mutuel, et encouragent l</w:t>
      </w:r>
      <w:r w:rsidR="003008A9">
        <w:rPr>
          <w:rFonts w:ascii="Arial" w:hAnsi="Arial"/>
          <w:sz w:val="22"/>
        </w:rPr>
        <w:t>’</w:t>
      </w:r>
      <w:r w:rsidRPr="00C34EE5">
        <w:rPr>
          <w:rFonts w:ascii="Arial" w:hAnsi="Arial"/>
          <w:sz w:val="22"/>
        </w:rPr>
        <w:t>é</w:t>
      </w:r>
      <w:r w:rsidR="003008A9">
        <w:rPr>
          <w:rFonts w:ascii="Arial" w:hAnsi="Arial"/>
          <w:sz w:val="22"/>
        </w:rPr>
        <w:t>quilibre au sein de la société.</w:t>
      </w:r>
    </w:p>
    <w:p w14:paraId="643B8FB2" w14:textId="38C6680C"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P.4 :</w:t>
      </w:r>
      <w:r w:rsidRPr="00C34EE5">
        <w:tab/>
      </w:r>
      <w:r w:rsidR="00503DA2">
        <w:rPr>
          <w:rFonts w:ascii="Arial" w:hAnsi="Arial"/>
          <w:sz w:val="22"/>
        </w:rPr>
        <w:t>L</w:t>
      </w:r>
      <w:r w:rsidRPr="00C34EE5">
        <w:rPr>
          <w:rFonts w:ascii="Arial" w:hAnsi="Arial"/>
          <w:sz w:val="22"/>
        </w:rPr>
        <w:t>e projet s</w:t>
      </w:r>
      <w:r w:rsidR="003008A9">
        <w:rPr>
          <w:rFonts w:ascii="Arial" w:hAnsi="Arial"/>
          <w:sz w:val="22"/>
        </w:rPr>
        <w:t>’</w:t>
      </w:r>
      <w:r w:rsidRPr="00C34EE5">
        <w:rPr>
          <w:rFonts w:ascii="Arial" w:hAnsi="Arial"/>
          <w:sz w:val="22"/>
        </w:rPr>
        <w:t>est avéré remarquablement efficace, comme en atteste sa longue existence, son développement permanent et son grand nombre de participants, très impliqués et venant de milieux différents. Ce projet a favorisé un regain d</w:t>
      </w:r>
      <w:r w:rsidR="003008A9">
        <w:rPr>
          <w:rFonts w:ascii="Arial" w:hAnsi="Arial"/>
          <w:sz w:val="22"/>
        </w:rPr>
        <w:t>’</w:t>
      </w:r>
      <w:r w:rsidRPr="00C34EE5">
        <w:rPr>
          <w:rFonts w:ascii="Arial" w:hAnsi="Arial"/>
          <w:sz w:val="22"/>
        </w:rPr>
        <w:t>intérêt pour l</w:t>
      </w:r>
      <w:r w:rsidR="003008A9">
        <w:rPr>
          <w:rFonts w:ascii="Arial" w:hAnsi="Arial"/>
          <w:sz w:val="22"/>
        </w:rPr>
        <w:t>’</w:t>
      </w:r>
      <w:r w:rsidRPr="00C34EE5">
        <w:rPr>
          <w:rFonts w:ascii="Arial" w:hAnsi="Arial"/>
          <w:sz w:val="22"/>
        </w:rPr>
        <w:t>art du conte à l</w:t>
      </w:r>
      <w:r w:rsidR="003008A9">
        <w:rPr>
          <w:rFonts w:ascii="Arial" w:hAnsi="Arial"/>
          <w:sz w:val="22"/>
        </w:rPr>
        <w:t>’</w:t>
      </w:r>
      <w:r w:rsidRPr="00C34EE5">
        <w:rPr>
          <w:rFonts w:ascii="Arial" w:hAnsi="Arial"/>
          <w:sz w:val="22"/>
        </w:rPr>
        <w:t xml:space="preserve">échelle nationale et </w:t>
      </w:r>
      <w:proofErr w:type="spellStart"/>
      <w:r w:rsidRPr="00C34EE5">
        <w:rPr>
          <w:rFonts w:ascii="Arial" w:hAnsi="Arial"/>
          <w:sz w:val="22"/>
        </w:rPr>
        <w:t>sous-régionale</w:t>
      </w:r>
      <w:proofErr w:type="spellEnd"/>
      <w:r w:rsidRPr="00C34EE5">
        <w:rPr>
          <w:rFonts w:ascii="Arial" w:hAnsi="Arial"/>
          <w:sz w:val="22"/>
        </w:rPr>
        <w:t>, et contribue continuellement au développement durable de la pratique ainsi qu</w:t>
      </w:r>
      <w:r w:rsidR="003008A9">
        <w:rPr>
          <w:rFonts w:ascii="Arial" w:hAnsi="Arial"/>
          <w:sz w:val="22"/>
        </w:rPr>
        <w:t>’</w:t>
      </w:r>
      <w:r w:rsidRPr="00C34EE5">
        <w:rPr>
          <w:rFonts w:ascii="Arial" w:hAnsi="Arial"/>
          <w:sz w:val="22"/>
        </w:rPr>
        <w:t>a</w:t>
      </w:r>
      <w:r w:rsidR="003008A9">
        <w:rPr>
          <w:rFonts w:ascii="Arial" w:hAnsi="Arial"/>
          <w:sz w:val="22"/>
        </w:rPr>
        <w:t>u renforcement de sa viabilité.</w:t>
      </w:r>
    </w:p>
    <w:p w14:paraId="5C049A2C" w14:textId="06D4CB93"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P.5 :</w:t>
      </w:r>
      <w:r w:rsidRPr="00C34EE5">
        <w:tab/>
      </w:r>
      <w:r w:rsidRPr="00C34EE5">
        <w:rPr>
          <w:rFonts w:ascii="Arial" w:hAnsi="Arial"/>
          <w:sz w:val="22"/>
        </w:rPr>
        <w:t>Le programme a été mis en place par les communautés locales, notamment des conteurs, amateurs d</w:t>
      </w:r>
      <w:r w:rsidR="003008A9">
        <w:rPr>
          <w:rFonts w:ascii="Arial" w:hAnsi="Arial"/>
          <w:sz w:val="22"/>
        </w:rPr>
        <w:t>’</w:t>
      </w:r>
      <w:r w:rsidRPr="00C34EE5">
        <w:rPr>
          <w:rFonts w:ascii="Arial" w:hAnsi="Arial"/>
          <w:sz w:val="22"/>
        </w:rPr>
        <w:t>histoire, experts, professeurs, bénévoles, membres du personnel de maison</w:t>
      </w:r>
      <w:r w:rsidR="00400413">
        <w:rPr>
          <w:rFonts w:ascii="Arial" w:hAnsi="Arial"/>
          <w:sz w:val="22"/>
        </w:rPr>
        <w:t>s</w:t>
      </w:r>
      <w:r w:rsidRPr="00C34EE5">
        <w:rPr>
          <w:rFonts w:ascii="Arial" w:hAnsi="Arial"/>
          <w:sz w:val="22"/>
        </w:rPr>
        <w:t xml:space="preserve"> de retraite et organisations locales, avec le soutien des autorités locales. La proposition a été préparée et approuvée par l</w:t>
      </w:r>
      <w:r w:rsidR="003008A9">
        <w:rPr>
          <w:rFonts w:ascii="Arial" w:hAnsi="Arial"/>
          <w:sz w:val="22"/>
        </w:rPr>
        <w:t>’</w:t>
      </w:r>
      <w:r w:rsidRPr="00C34EE5">
        <w:rPr>
          <w:rFonts w:ascii="Arial" w:hAnsi="Arial"/>
          <w:sz w:val="22"/>
        </w:rPr>
        <w:t>association de tutelle en collaboration avec des experts, individus et organisations locales impliqués dans le programme.</w:t>
      </w:r>
    </w:p>
    <w:p w14:paraId="379B6326" w14:textId="2E92765E"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P.6 :</w:t>
      </w:r>
      <w:r w:rsidRPr="00C34EE5">
        <w:tab/>
      </w:r>
      <w:r w:rsidRPr="00C34EE5">
        <w:rPr>
          <w:rFonts w:ascii="Arial" w:hAnsi="Arial"/>
          <w:sz w:val="22"/>
        </w:rPr>
        <w:t xml:space="preserve">Le projet est déjà un modèle </w:t>
      </w:r>
      <w:r w:rsidR="00503DA2">
        <w:rPr>
          <w:rFonts w:ascii="Arial" w:hAnsi="Arial"/>
          <w:sz w:val="22"/>
        </w:rPr>
        <w:t>de réussite</w:t>
      </w:r>
      <w:r w:rsidRPr="00C34EE5">
        <w:rPr>
          <w:rFonts w:ascii="Arial" w:hAnsi="Arial"/>
          <w:sz w:val="22"/>
        </w:rPr>
        <w:t xml:space="preserve"> au</w:t>
      </w:r>
      <w:r w:rsidR="00503DA2">
        <w:rPr>
          <w:rFonts w:ascii="Arial" w:hAnsi="Arial"/>
          <w:sz w:val="22"/>
        </w:rPr>
        <w:t>x</w:t>
      </w:r>
      <w:r w:rsidRPr="00C34EE5">
        <w:rPr>
          <w:rFonts w:ascii="Arial" w:hAnsi="Arial"/>
          <w:sz w:val="22"/>
        </w:rPr>
        <w:t xml:space="preserve"> niveau</w:t>
      </w:r>
      <w:r w:rsidR="00503DA2">
        <w:rPr>
          <w:rFonts w:ascii="Arial" w:hAnsi="Arial"/>
          <w:sz w:val="22"/>
        </w:rPr>
        <w:t>x</w:t>
      </w:r>
      <w:r w:rsidRPr="00C34EE5">
        <w:rPr>
          <w:rFonts w:ascii="Arial" w:hAnsi="Arial"/>
          <w:sz w:val="22"/>
        </w:rPr>
        <w:t xml:space="preserve"> national et </w:t>
      </w:r>
      <w:proofErr w:type="spellStart"/>
      <w:r w:rsidRPr="00C34EE5">
        <w:rPr>
          <w:rFonts w:ascii="Arial" w:hAnsi="Arial"/>
          <w:sz w:val="22"/>
        </w:rPr>
        <w:t>sous-régional</w:t>
      </w:r>
      <w:proofErr w:type="spellEnd"/>
      <w:r w:rsidRPr="00C34EE5">
        <w:rPr>
          <w:rFonts w:ascii="Arial" w:hAnsi="Arial"/>
          <w:sz w:val="22"/>
        </w:rPr>
        <w:t>. Sa viabilité et sa recherche active de nouveaux endroits et espaces sociaux pour promouvoir et pratiquer l</w:t>
      </w:r>
      <w:r w:rsidR="003008A9">
        <w:rPr>
          <w:rFonts w:ascii="Arial" w:hAnsi="Arial"/>
          <w:sz w:val="22"/>
        </w:rPr>
        <w:t>’</w:t>
      </w:r>
      <w:r w:rsidRPr="00C34EE5">
        <w:rPr>
          <w:rFonts w:ascii="Arial" w:hAnsi="Arial"/>
          <w:sz w:val="22"/>
        </w:rPr>
        <w:t>art du conte suggèrent que le projet est applicable à une large gamme de contextes nationaux, culturels et sociaux. Il traduit également les défis contemporains liés à l</w:t>
      </w:r>
      <w:r w:rsidR="003008A9">
        <w:rPr>
          <w:rFonts w:ascii="Arial" w:hAnsi="Arial"/>
          <w:sz w:val="22"/>
        </w:rPr>
        <w:t>’</w:t>
      </w:r>
      <w:r w:rsidRPr="00C34EE5">
        <w:rPr>
          <w:rFonts w:ascii="Arial" w:hAnsi="Arial"/>
          <w:sz w:val="22"/>
        </w:rPr>
        <w:t>environnement et aux traumatismes sociaux, à l</w:t>
      </w:r>
      <w:r w:rsidR="003008A9">
        <w:rPr>
          <w:rFonts w:ascii="Arial" w:hAnsi="Arial"/>
          <w:sz w:val="22"/>
        </w:rPr>
        <w:t>’</w:t>
      </w:r>
      <w:r w:rsidRPr="00C34EE5">
        <w:rPr>
          <w:rFonts w:ascii="Arial" w:hAnsi="Arial"/>
          <w:sz w:val="22"/>
        </w:rPr>
        <w:t>immigration, à l</w:t>
      </w:r>
      <w:r w:rsidR="003008A9">
        <w:rPr>
          <w:rFonts w:ascii="Arial" w:hAnsi="Arial"/>
          <w:sz w:val="22"/>
        </w:rPr>
        <w:t>’</w:t>
      </w:r>
      <w:r w:rsidRPr="00C34EE5">
        <w:rPr>
          <w:rFonts w:ascii="Arial" w:hAnsi="Arial"/>
          <w:sz w:val="22"/>
        </w:rPr>
        <w:t>acculturation ou aux problèmes d</w:t>
      </w:r>
      <w:r w:rsidR="003008A9">
        <w:rPr>
          <w:rFonts w:ascii="Arial" w:hAnsi="Arial"/>
          <w:sz w:val="22"/>
        </w:rPr>
        <w:t>’</w:t>
      </w:r>
      <w:r w:rsidRPr="00C34EE5">
        <w:rPr>
          <w:rFonts w:ascii="Arial" w:hAnsi="Arial"/>
          <w:sz w:val="22"/>
        </w:rPr>
        <w:t>apprentis</w:t>
      </w:r>
      <w:r w:rsidR="003008A9">
        <w:rPr>
          <w:rFonts w:ascii="Arial" w:hAnsi="Arial"/>
          <w:sz w:val="22"/>
        </w:rPr>
        <w:t>sage collectifs et individuels.</w:t>
      </w:r>
    </w:p>
    <w:p w14:paraId="5F37887D" w14:textId="76FAF477"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P.7 :</w:t>
      </w:r>
      <w:r w:rsidRPr="00C34EE5">
        <w:tab/>
      </w:r>
      <w:r w:rsidRPr="00C34EE5">
        <w:rPr>
          <w:rFonts w:ascii="Arial" w:hAnsi="Arial"/>
          <w:sz w:val="22"/>
        </w:rPr>
        <w:t>L</w:t>
      </w:r>
      <w:r w:rsidR="003008A9">
        <w:rPr>
          <w:rFonts w:ascii="Arial" w:hAnsi="Arial"/>
          <w:sz w:val="22"/>
        </w:rPr>
        <w:t>’</w:t>
      </w:r>
      <w:r w:rsidRPr="00C34EE5">
        <w:rPr>
          <w:rFonts w:ascii="Arial" w:hAnsi="Arial"/>
          <w:sz w:val="22"/>
        </w:rPr>
        <w:t xml:space="preserve">État partie soumissionnaire et les communautés concernées sont clairement disposés à coopérer à la diffusion du programme si celui-ci est sélectionné, comme en atteste leur accord formel et les mesures pratiques déjà lancées. Il est prévu de créer au </w:t>
      </w:r>
      <w:r w:rsidR="009E7706">
        <w:rPr>
          <w:rFonts w:ascii="Arial" w:hAnsi="Arial"/>
          <w:sz w:val="22"/>
        </w:rPr>
        <w:t>M</w:t>
      </w:r>
      <w:r w:rsidRPr="00C34EE5">
        <w:rPr>
          <w:rFonts w:ascii="Arial" w:hAnsi="Arial"/>
          <w:sz w:val="22"/>
        </w:rPr>
        <w:t xml:space="preserve">usée </w:t>
      </w:r>
      <w:r w:rsidR="009E7706">
        <w:rPr>
          <w:rFonts w:ascii="Arial" w:hAnsi="Arial"/>
          <w:sz w:val="22"/>
        </w:rPr>
        <w:t xml:space="preserve">des </w:t>
      </w:r>
      <w:r w:rsidR="00400413">
        <w:rPr>
          <w:rFonts w:ascii="Arial" w:hAnsi="Arial"/>
          <w:sz w:val="22"/>
        </w:rPr>
        <w:t xml:space="preserve">légendes </w:t>
      </w:r>
      <w:r w:rsidR="009E7706">
        <w:rPr>
          <w:rFonts w:ascii="Arial" w:hAnsi="Arial"/>
          <w:sz w:val="22"/>
        </w:rPr>
        <w:t xml:space="preserve">à Ljungby </w:t>
      </w:r>
      <w:r w:rsidRPr="00C34EE5">
        <w:rPr>
          <w:rFonts w:ascii="Arial" w:hAnsi="Arial"/>
          <w:sz w:val="22"/>
        </w:rPr>
        <w:t>un poste à temps plein dont l</w:t>
      </w:r>
      <w:r w:rsidR="003008A9">
        <w:rPr>
          <w:rFonts w:ascii="Arial" w:hAnsi="Arial"/>
          <w:sz w:val="22"/>
        </w:rPr>
        <w:t>’</w:t>
      </w:r>
      <w:r w:rsidRPr="00C34EE5">
        <w:rPr>
          <w:rFonts w:ascii="Arial" w:hAnsi="Arial"/>
          <w:sz w:val="22"/>
        </w:rPr>
        <w:t>unique mission sera d</w:t>
      </w:r>
      <w:r w:rsidR="003008A9">
        <w:rPr>
          <w:rFonts w:ascii="Arial" w:hAnsi="Arial"/>
          <w:sz w:val="22"/>
        </w:rPr>
        <w:t>’</w:t>
      </w:r>
      <w:r w:rsidRPr="00C34EE5">
        <w:rPr>
          <w:rFonts w:ascii="Arial" w:hAnsi="Arial"/>
          <w:sz w:val="22"/>
        </w:rPr>
        <w:t xml:space="preserve">entretenir les contacts internationaux ; et les efforts pour publier des textes dans plusieurs langues internationales et locales seront multipliés afin de favoriser la diffusion du programme. </w:t>
      </w:r>
      <w:r w:rsidR="009E7706">
        <w:rPr>
          <w:rFonts w:ascii="Arial" w:hAnsi="Arial"/>
          <w:sz w:val="22"/>
        </w:rPr>
        <w:t>D</w:t>
      </w:r>
      <w:r w:rsidR="003008A9">
        <w:rPr>
          <w:rFonts w:ascii="Arial" w:hAnsi="Arial"/>
          <w:sz w:val="22"/>
        </w:rPr>
        <w:t>’</w:t>
      </w:r>
      <w:r w:rsidRPr="00C34EE5">
        <w:rPr>
          <w:rFonts w:ascii="Arial" w:hAnsi="Arial"/>
          <w:sz w:val="22"/>
        </w:rPr>
        <w:t xml:space="preserve">autres moyens de partager des expériences au Festival international du </w:t>
      </w:r>
      <w:r w:rsidR="009E7706">
        <w:rPr>
          <w:rFonts w:ascii="Arial" w:hAnsi="Arial"/>
          <w:sz w:val="22"/>
        </w:rPr>
        <w:t>c</w:t>
      </w:r>
      <w:r w:rsidRPr="00C34EE5">
        <w:rPr>
          <w:rFonts w:ascii="Arial" w:hAnsi="Arial"/>
          <w:sz w:val="22"/>
        </w:rPr>
        <w:t xml:space="preserve">onte de Ljungby et au sein du réseau </w:t>
      </w:r>
      <w:r w:rsidR="009E7706">
        <w:rPr>
          <w:rFonts w:ascii="Arial" w:hAnsi="Arial"/>
          <w:sz w:val="22"/>
        </w:rPr>
        <w:t xml:space="preserve">nordique </w:t>
      </w:r>
      <w:r w:rsidRPr="00C34EE5">
        <w:rPr>
          <w:rFonts w:ascii="Arial" w:hAnsi="Arial"/>
          <w:sz w:val="22"/>
        </w:rPr>
        <w:t>des ONG sont également envisagés.</w:t>
      </w:r>
    </w:p>
    <w:p w14:paraId="707BFB86" w14:textId="7DFE0C0F"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P.8 :</w:t>
      </w:r>
      <w:r w:rsidRPr="00C34EE5">
        <w:tab/>
      </w:r>
      <w:r w:rsidRPr="00C34EE5">
        <w:rPr>
          <w:rFonts w:ascii="Arial" w:hAnsi="Arial"/>
          <w:sz w:val="22"/>
        </w:rPr>
        <w:t>Le nombre croissant de visiteurs du musée et du festival, et notamment l</w:t>
      </w:r>
      <w:r w:rsidR="003008A9">
        <w:rPr>
          <w:rFonts w:ascii="Arial" w:hAnsi="Arial"/>
          <w:sz w:val="22"/>
        </w:rPr>
        <w:t>’</w:t>
      </w:r>
      <w:r w:rsidRPr="00C34EE5">
        <w:rPr>
          <w:rFonts w:ascii="Arial" w:hAnsi="Arial"/>
          <w:sz w:val="22"/>
        </w:rPr>
        <w:t>augmentation constante du nombre de conteurs</w:t>
      </w:r>
      <w:r w:rsidR="009E7706">
        <w:rPr>
          <w:rFonts w:ascii="Arial" w:hAnsi="Arial"/>
          <w:sz w:val="22"/>
        </w:rPr>
        <w:t xml:space="preserve"> et</w:t>
      </w:r>
      <w:r w:rsidRPr="00C34EE5">
        <w:rPr>
          <w:rFonts w:ascii="Arial" w:hAnsi="Arial"/>
          <w:sz w:val="22"/>
        </w:rPr>
        <w:t xml:space="preserve"> des personnes activement impliquées dans le programme</w:t>
      </w:r>
      <w:r w:rsidR="009E7706">
        <w:rPr>
          <w:rFonts w:ascii="Arial" w:hAnsi="Arial"/>
          <w:sz w:val="22"/>
        </w:rPr>
        <w:t xml:space="preserve">, ainsi que l’extension du </w:t>
      </w:r>
      <w:r w:rsidRPr="00C34EE5">
        <w:rPr>
          <w:rFonts w:ascii="Arial" w:hAnsi="Arial"/>
          <w:sz w:val="22"/>
        </w:rPr>
        <w:t>réseau des associations</w:t>
      </w:r>
      <w:r w:rsidR="009E7706">
        <w:rPr>
          <w:rFonts w:ascii="Arial" w:hAnsi="Arial"/>
          <w:sz w:val="22"/>
        </w:rPr>
        <w:t xml:space="preserve"> de conteurs</w:t>
      </w:r>
      <w:r w:rsidRPr="00C34EE5">
        <w:rPr>
          <w:rFonts w:ascii="Arial" w:hAnsi="Arial"/>
          <w:sz w:val="22"/>
        </w:rPr>
        <w:t>, pourrai</w:t>
      </w:r>
      <w:r w:rsidR="009E7706">
        <w:rPr>
          <w:rFonts w:ascii="Arial" w:hAnsi="Arial"/>
          <w:sz w:val="22"/>
        </w:rPr>
        <w:t>en</w:t>
      </w:r>
      <w:r w:rsidRPr="00C34EE5">
        <w:rPr>
          <w:rFonts w:ascii="Arial" w:hAnsi="Arial"/>
          <w:sz w:val="22"/>
        </w:rPr>
        <w:t>t servir de donnée</w:t>
      </w:r>
      <w:r w:rsidR="009E7706">
        <w:rPr>
          <w:rFonts w:ascii="Arial" w:hAnsi="Arial"/>
          <w:sz w:val="22"/>
        </w:rPr>
        <w:t>s</w:t>
      </w:r>
      <w:r w:rsidRPr="00C34EE5">
        <w:rPr>
          <w:rFonts w:ascii="Arial" w:hAnsi="Arial"/>
          <w:sz w:val="22"/>
        </w:rPr>
        <w:t xml:space="preserve"> de base pour l</w:t>
      </w:r>
      <w:r w:rsidR="003008A9">
        <w:rPr>
          <w:rFonts w:ascii="Arial" w:hAnsi="Arial"/>
          <w:sz w:val="22"/>
        </w:rPr>
        <w:t>’</w:t>
      </w:r>
      <w:r w:rsidRPr="00C34EE5">
        <w:rPr>
          <w:rFonts w:ascii="Arial" w:hAnsi="Arial"/>
          <w:sz w:val="22"/>
        </w:rPr>
        <w:t xml:space="preserve">évaluation de la portée et du succès du programme. Le dossier fournit plusieurs exemples de suivi et </w:t>
      </w:r>
      <w:r w:rsidRPr="00C34EE5">
        <w:rPr>
          <w:rFonts w:ascii="Arial" w:hAnsi="Arial"/>
          <w:sz w:val="22"/>
        </w:rPr>
        <w:lastRenderedPageBreak/>
        <w:t>d</w:t>
      </w:r>
      <w:r w:rsidR="003008A9">
        <w:rPr>
          <w:rFonts w:ascii="Arial" w:hAnsi="Arial"/>
          <w:sz w:val="22"/>
        </w:rPr>
        <w:t>’</w:t>
      </w:r>
      <w:r w:rsidRPr="00C34EE5">
        <w:rPr>
          <w:rFonts w:ascii="Arial" w:hAnsi="Arial"/>
          <w:sz w:val="22"/>
        </w:rPr>
        <w:t>évaluation externe du programme, ainsi que des retours et critiques qui sont utilisés pour améliorer les activités et les mesures de sauvegarde proposées.</w:t>
      </w:r>
    </w:p>
    <w:p w14:paraId="5F6D34E5" w14:textId="148168CD" w:rsidR="00FD4D37" w:rsidRPr="00C34EE5" w:rsidRDefault="00FD4D37" w:rsidP="00E445A1">
      <w:pPr>
        <w:tabs>
          <w:tab w:val="left" w:pos="567"/>
          <w:tab w:val="left" w:pos="1701"/>
          <w:tab w:val="left" w:pos="2268"/>
        </w:tabs>
        <w:spacing w:before="120" w:after="120"/>
        <w:ind w:left="1701" w:hanging="567"/>
        <w:jc w:val="both"/>
        <w:rPr>
          <w:rFonts w:ascii="Arial" w:hAnsi="Arial" w:cs="Arial"/>
          <w:sz w:val="22"/>
          <w:szCs w:val="22"/>
        </w:rPr>
      </w:pPr>
      <w:r w:rsidRPr="00C34EE5">
        <w:rPr>
          <w:rFonts w:ascii="Arial" w:hAnsi="Arial"/>
          <w:sz w:val="22"/>
        </w:rPr>
        <w:t>P.9 :</w:t>
      </w:r>
      <w:r w:rsidRPr="00C34EE5">
        <w:tab/>
      </w:r>
      <w:r w:rsidRPr="00C34EE5">
        <w:rPr>
          <w:rFonts w:ascii="Arial" w:hAnsi="Arial"/>
          <w:sz w:val="22"/>
        </w:rPr>
        <w:t xml:space="preserve">Le programme </w:t>
      </w:r>
      <w:r w:rsidR="009E7706">
        <w:rPr>
          <w:rFonts w:ascii="Arial" w:hAnsi="Arial"/>
          <w:sz w:val="22"/>
        </w:rPr>
        <w:t>sauvegarde</w:t>
      </w:r>
      <w:r w:rsidR="009E7706" w:rsidRPr="00C34EE5">
        <w:rPr>
          <w:rFonts w:ascii="Arial" w:hAnsi="Arial"/>
          <w:sz w:val="22"/>
        </w:rPr>
        <w:t xml:space="preserve"> </w:t>
      </w:r>
      <w:r w:rsidRPr="00C34EE5">
        <w:rPr>
          <w:rFonts w:ascii="Arial" w:hAnsi="Arial"/>
          <w:sz w:val="22"/>
        </w:rPr>
        <w:t xml:space="preserve">les valeurs essentielles des communautés locales qui sont ancrées dans les traditions orales, tout en donnant </w:t>
      </w:r>
      <w:r w:rsidR="009E7706">
        <w:rPr>
          <w:rFonts w:ascii="Arial" w:hAnsi="Arial"/>
          <w:sz w:val="22"/>
        </w:rPr>
        <w:t xml:space="preserve">aux </w:t>
      </w:r>
      <w:r w:rsidRPr="00C34EE5">
        <w:rPr>
          <w:rFonts w:ascii="Arial" w:hAnsi="Arial"/>
          <w:sz w:val="22"/>
        </w:rPr>
        <w:t xml:space="preserve">histoires </w:t>
      </w:r>
      <w:r w:rsidR="009E7706">
        <w:rPr>
          <w:rFonts w:ascii="Arial" w:hAnsi="Arial"/>
          <w:sz w:val="22"/>
        </w:rPr>
        <w:t>de</w:t>
      </w:r>
      <w:r w:rsidRPr="00C34EE5">
        <w:rPr>
          <w:rFonts w:ascii="Arial" w:hAnsi="Arial"/>
          <w:sz w:val="22"/>
        </w:rPr>
        <w:t xml:space="preserve"> nouvelles fonctions, de nouveaux praticiens et de nouvelles formes de transmission. Il pourrait correspondre aux besoins des pays en développement, principalement car la sauvegarde de l</w:t>
      </w:r>
      <w:r w:rsidR="003008A9">
        <w:rPr>
          <w:rFonts w:ascii="Arial" w:hAnsi="Arial"/>
          <w:sz w:val="22"/>
        </w:rPr>
        <w:t>’</w:t>
      </w:r>
      <w:r w:rsidRPr="00C34EE5">
        <w:rPr>
          <w:rFonts w:ascii="Arial" w:hAnsi="Arial"/>
          <w:sz w:val="22"/>
        </w:rPr>
        <w:t>art du conte, des traditions orales et des arts oraux ne nécessite pas de financements importants. Mettre l</w:t>
      </w:r>
      <w:r w:rsidR="003008A9">
        <w:rPr>
          <w:rFonts w:ascii="Arial" w:hAnsi="Arial"/>
          <w:sz w:val="22"/>
        </w:rPr>
        <w:t>’</w:t>
      </w:r>
      <w:r w:rsidRPr="00C34EE5">
        <w:rPr>
          <w:rFonts w:ascii="Arial" w:hAnsi="Arial"/>
          <w:sz w:val="22"/>
        </w:rPr>
        <w:t>accent sur le partage informel et collectif du temps et de l</w:t>
      </w:r>
      <w:r w:rsidR="003008A9">
        <w:rPr>
          <w:rFonts w:ascii="Arial" w:hAnsi="Arial"/>
          <w:sz w:val="22"/>
        </w:rPr>
        <w:t>’</w:t>
      </w:r>
      <w:r w:rsidRPr="00C34EE5">
        <w:rPr>
          <w:rFonts w:ascii="Arial" w:hAnsi="Arial"/>
          <w:sz w:val="22"/>
        </w:rPr>
        <w:t>espace parmi les communautés et les individus crée les conditions optimales pour la transmission de ce type de patrimoine culturel immatériel.</w:t>
      </w:r>
    </w:p>
    <w:p w14:paraId="55F74F54" w14:textId="3C9AD79A" w:rsidR="00373B56" w:rsidRPr="00C34EE5" w:rsidRDefault="00373B56" w:rsidP="003008A9">
      <w:pPr>
        <w:numPr>
          <w:ilvl w:val="0"/>
          <w:numId w:val="17"/>
        </w:numPr>
        <w:tabs>
          <w:tab w:val="left" w:pos="567"/>
          <w:tab w:val="left" w:pos="1134"/>
          <w:tab w:val="left" w:pos="1701"/>
          <w:tab w:val="left" w:pos="2268"/>
        </w:tabs>
        <w:spacing w:before="120" w:after="120"/>
        <w:ind w:left="1134" w:hanging="567"/>
        <w:jc w:val="both"/>
        <w:rPr>
          <w:rFonts w:ascii="Arial" w:hAnsi="Arial" w:cs="Arial"/>
          <w:bCs/>
          <w:sz w:val="22"/>
          <w:szCs w:val="22"/>
        </w:rPr>
      </w:pPr>
      <w:r w:rsidRPr="00C34EE5">
        <w:rPr>
          <w:rFonts w:ascii="Arial" w:hAnsi="Arial"/>
          <w:sz w:val="22"/>
          <w:u w:val="single"/>
        </w:rPr>
        <w:t>Sélectionne</w:t>
      </w:r>
      <w:r w:rsidRPr="00C34EE5">
        <w:rPr>
          <w:rFonts w:ascii="Arial" w:hAnsi="Arial"/>
          <w:sz w:val="22"/>
        </w:rPr>
        <w:t xml:space="preserve"> </w:t>
      </w:r>
      <w:r w:rsidR="009E7706">
        <w:rPr>
          <w:rFonts w:ascii="Arial" w:hAnsi="Arial"/>
          <w:b/>
          <w:sz w:val="22"/>
        </w:rPr>
        <w:t>L</w:t>
      </w:r>
      <w:r w:rsidRPr="00C34EE5">
        <w:rPr>
          <w:rFonts w:ascii="Arial" w:hAnsi="Arial"/>
          <w:b/>
          <w:sz w:val="22"/>
        </w:rPr>
        <w:t xml:space="preserve">e programme </w:t>
      </w:r>
      <w:r w:rsidR="003008A9">
        <w:rPr>
          <w:rFonts w:ascii="Arial" w:hAnsi="Arial"/>
          <w:b/>
          <w:sz w:val="22"/>
        </w:rPr>
        <w:t>« </w:t>
      </w:r>
      <w:r w:rsidRPr="00C34EE5">
        <w:rPr>
          <w:rFonts w:ascii="Arial" w:hAnsi="Arial"/>
          <w:b/>
          <w:sz w:val="22"/>
        </w:rPr>
        <w:t>Terre des légendes »</w:t>
      </w:r>
      <w:r w:rsidR="009E7706">
        <w:rPr>
          <w:rFonts w:ascii="Arial" w:hAnsi="Arial"/>
          <w:b/>
          <w:sz w:val="22"/>
        </w:rPr>
        <w:t xml:space="preserve"> </w:t>
      </w:r>
      <w:r w:rsidRPr="00C34EE5">
        <w:rPr>
          <w:rFonts w:ascii="Arial" w:hAnsi="Arial"/>
          <w:b/>
          <w:sz w:val="22"/>
        </w:rPr>
        <w:t>pour promouvoir et redynamiser l</w:t>
      </w:r>
      <w:r w:rsidR="003008A9">
        <w:rPr>
          <w:rFonts w:ascii="Arial" w:hAnsi="Arial"/>
          <w:b/>
          <w:sz w:val="22"/>
        </w:rPr>
        <w:t>’</w:t>
      </w:r>
      <w:r w:rsidRPr="00C34EE5">
        <w:rPr>
          <w:rFonts w:ascii="Arial" w:hAnsi="Arial"/>
          <w:b/>
          <w:sz w:val="22"/>
        </w:rPr>
        <w:t>art du conte dans le comté de Kronoberg (sud de la Suède)</w:t>
      </w:r>
      <w:r w:rsidRPr="00C34EE5">
        <w:rPr>
          <w:rFonts w:ascii="Arial" w:hAnsi="Arial"/>
          <w:sz w:val="22"/>
        </w:rPr>
        <w:t xml:space="preserve"> comme programme, projet ou activité reflétant le mieux les principes et objectifs de la Convention</w:t>
      </w:r>
      <w:r w:rsidR="009E7706">
        <w:rPr>
          <w:rFonts w:ascii="Arial" w:hAnsi="Arial"/>
          <w:sz w:val="22"/>
        </w:rPr>
        <w:t> ;</w:t>
      </w:r>
    </w:p>
    <w:p w14:paraId="4C432B3E" w14:textId="64CBB6E7" w:rsidR="0053318C" w:rsidRPr="00CF150F" w:rsidRDefault="00FD4D37" w:rsidP="00D80C9C">
      <w:pPr>
        <w:numPr>
          <w:ilvl w:val="0"/>
          <w:numId w:val="17"/>
        </w:numPr>
        <w:tabs>
          <w:tab w:val="left" w:pos="567"/>
          <w:tab w:val="left" w:pos="1134"/>
          <w:tab w:val="left" w:pos="1701"/>
          <w:tab w:val="left" w:pos="2268"/>
        </w:tabs>
        <w:spacing w:before="100" w:beforeAutospacing="1" w:after="120"/>
        <w:ind w:left="1134" w:hanging="567"/>
        <w:jc w:val="both"/>
        <w:rPr>
          <w:rFonts w:ascii="Arial" w:hAnsi="Arial" w:cs="Arial"/>
          <w:bCs/>
          <w:sz w:val="22"/>
          <w:szCs w:val="22"/>
        </w:rPr>
      </w:pPr>
      <w:r w:rsidRPr="00CF150F">
        <w:rPr>
          <w:rFonts w:ascii="Arial" w:hAnsi="Arial"/>
          <w:sz w:val="22"/>
          <w:u w:val="single"/>
        </w:rPr>
        <w:t>Félicite</w:t>
      </w:r>
      <w:r w:rsidRPr="00CF150F">
        <w:rPr>
          <w:rFonts w:ascii="Arial" w:hAnsi="Arial"/>
          <w:sz w:val="22"/>
        </w:rPr>
        <w:t xml:space="preserve"> l</w:t>
      </w:r>
      <w:r w:rsidR="003008A9" w:rsidRPr="00CF150F">
        <w:rPr>
          <w:rFonts w:ascii="Arial" w:hAnsi="Arial"/>
          <w:sz w:val="22"/>
        </w:rPr>
        <w:t>’</w:t>
      </w:r>
      <w:r w:rsidRPr="00CF150F">
        <w:rPr>
          <w:rFonts w:ascii="Arial" w:hAnsi="Arial"/>
          <w:sz w:val="22"/>
        </w:rPr>
        <w:t xml:space="preserve">État partie pour </w:t>
      </w:r>
      <w:r w:rsidR="00400413" w:rsidRPr="00CF150F">
        <w:rPr>
          <w:rFonts w:ascii="Arial" w:hAnsi="Arial"/>
          <w:sz w:val="22"/>
        </w:rPr>
        <w:t xml:space="preserve">sa </w:t>
      </w:r>
      <w:r w:rsidRPr="00CF150F">
        <w:rPr>
          <w:rFonts w:ascii="Arial" w:hAnsi="Arial"/>
          <w:sz w:val="22"/>
        </w:rPr>
        <w:t>premi</w:t>
      </w:r>
      <w:r w:rsidR="00400413" w:rsidRPr="00CF150F">
        <w:rPr>
          <w:rFonts w:ascii="Arial" w:hAnsi="Arial"/>
          <w:sz w:val="22"/>
        </w:rPr>
        <w:t>è</w:t>
      </w:r>
      <w:r w:rsidR="009E7706" w:rsidRPr="00CF150F">
        <w:rPr>
          <w:rFonts w:ascii="Arial" w:hAnsi="Arial"/>
          <w:sz w:val="22"/>
        </w:rPr>
        <w:t>r</w:t>
      </w:r>
      <w:r w:rsidR="00400413" w:rsidRPr="00CF150F">
        <w:rPr>
          <w:rFonts w:ascii="Arial" w:hAnsi="Arial"/>
          <w:sz w:val="22"/>
        </w:rPr>
        <w:t>e</w:t>
      </w:r>
      <w:r w:rsidRPr="00CF150F">
        <w:rPr>
          <w:rFonts w:ascii="Arial" w:hAnsi="Arial"/>
          <w:sz w:val="22"/>
        </w:rPr>
        <w:t xml:space="preserve"> </w:t>
      </w:r>
      <w:r w:rsidR="00400413" w:rsidRPr="00CF150F">
        <w:rPr>
          <w:rFonts w:ascii="Arial" w:hAnsi="Arial"/>
          <w:sz w:val="22"/>
        </w:rPr>
        <w:t>proposition</w:t>
      </w:r>
      <w:r w:rsidRPr="00CF150F">
        <w:rPr>
          <w:rFonts w:ascii="Arial" w:hAnsi="Arial"/>
          <w:sz w:val="22"/>
        </w:rPr>
        <w:t>, et pour avoir soumis un dossier exemplaire qui présente un programme réussi, efficace et durable pour la sauvegarde de l</w:t>
      </w:r>
      <w:r w:rsidR="003008A9" w:rsidRPr="00CF150F">
        <w:rPr>
          <w:rFonts w:ascii="Arial" w:hAnsi="Arial"/>
          <w:sz w:val="22"/>
        </w:rPr>
        <w:t>’</w:t>
      </w:r>
      <w:r w:rsidRPr="00CF150F">
        <w:rPr>
          <w:rFonts w:ascii="Arial" w:hAnsi="Arial"/>
          <w:sz w:val="22"/>
        </w:rPr>
        <w:t xml:space="preserve">art </w:t>
      </w:r>
      <w:r w:rsidR="009E7706" w:rsidRPr="00CF150F">
        <w:rPr>
          <w:rFonts w:ascii="Arial" w:hAnsi="Arial"/>
          <w:sz w:val="22"/>
        </w:rPr>
        <w:t xml:space="preserve">du </w:t>
      </w:r>
      <w:r w:rsidRPr="00CF150F">
        <w:rPr>
          <w:rFonts w:ascii="Arial" w:hAnsi="Arial"/>
          <w:sz w:val="22"/>
        </w:rPr>
        <w:t>conte, qui est profondément ancré dans la communauté et peut servir de modèle pour les pays où les traditions orales jouent encore un rôl</w:t>
      </w:r>
      <w:r w:rsidR="003008A9" w:rsidRPr="00CF150F">
        <w:rPr>
          <w:rFonts w:ascii="Arial" w:hAnsi="Arial"/>
          <w:sz w:val="22"/>
        </w:rPr>
        <w:t>e social et culturel important.</w:t>
      </w:r>
    </w:p>
    <w:sectPr w:rsidR="0053318C" w:rsidRPr="00CF150F" w:rsidSect="00655736">
      <w:head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CE200" w14:textId="77777777" w:rsidR="00096AE9" w:rsidRDefault="00096AE9" w:rsidP="00655736">
      <w:r>
        <w:separator/>
      </w:r>
    </w:p>
  </w:endnote>
  <w:endnote w:type="continuationSeparator" w:id="0">
    <w:p w14:paraId="583954EA" w14:textId="77777777" w:rsidR="00096AE9" w:rsidRDefault="00096AE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40C80" w14:textId="77777777" w:rsidR="00096AE9" w:rsidRDefault="00096AE9" w:rsidP="00655736">
      <w:r>
        <w:separator/>
      </w:r>
    </w:p>
  </w:footnote>
  <w:footnote w:type="continuationSeparator" w:id="0">
    <w:p w14:paraId="41BEB3EF" w14:textId="77777777" w:rsidR="00096AE9" w:rsidRDefault="00096AE9" w:rsidP="006557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04EC" w14:textId="2006189C" w:rsidR="00D95C4C" w:rsidRPr="00D80C9C" w:rsidRDefault="00CB0542" w:rsidP="001D14FE">
    <w:pPr>
      <w:pStyle w:val="Header"/>
      <w:rPr>
        <w:rFonts w:ascii="Arial" w:hAnsi="Arial" w:cs="Arial"/>
        <w:sz w:val="20"/>
        <w:szCs w:val="20"/>
      </w:rPr>
    </w:pPr>
    <w:r>
      <w:rPr>
        <w:rFonts w:ascii="Arial" w:hAnsi="Arial"/>
        <w:sz w:val="20"/>
      </w:rPr>
      <w:t xml:space="preserve">ITH/18/13.COM/10.c –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C17340">
      <w:rPr>
        <w:rStyle w:val="PageNumber"/>
        <w:rFonts w:ascii="Arial" w:hAnsi="Arial" w:cs="Arial"/>
        <w:noProof/>
        <w:sz w:val="20"/>
        <w:szCs w:val="20"/>
      </w:rPr>
      <w:t>4</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B8AE" w14:textId="7537C71A" w:rsidR="00D95C4C" w:rsidRPr="0063300C" w:rsidRDefault="0053318C" w:rsidP="001D14FE">
    <w:pPr>
      <w:pStyle w:val="Header"/>
      <w:jc w:val="right"/>
      <w:rPr>
        <w:rFonts w:ascii="Arial" w:hAnsi="Arial" w:cs="Arial"/>
      </w:rPr>
    </w:pPr>
    <w:r>
      <w:rPr>
        <w:rFonts w:ascii="Arial" w:hAnsi="Arial"/>
        <w:sz w:val="20"/>
      </w:rPr>
      <w:t xml:space="preserve">ITH/18/13.COM/10.c –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sidR="00C17340">
      <w:rPr>
        <w:rStyle w:val="PageNumber"/>
        <w:rFonts w:ascii="Arial" w:hAnsi="Arial" w:cs="Arial"/>
        <w:noProof/>
        <w:sz w:val="20"/>
        <w:szCs w:val="20"/>
      </w:rPr>
      <w:t>3</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6602" w14:textId="059B0C6E" w:rsidR="00D95C4C" w:rsidRPr="00E95AE2" w:rsidRDefault="009D7445">
    <w:pPr>
      <w:pStyle w:val="Header"/>
      <w:rPr>
        <w:sz w:val="22"/>
        <w:szCs w:val="22"/>
      </w:rPr>
    </w:pPr>
    <w:r>
      <w:rPr>
        <w:noProof/>
        <w:lang w:val="en-US" w:eastAsia="en-US" w:bidi="ar-SA"/>
      </w:rPr>
      <w:drawing>
        <wp:anchor distT="0" distB="0" distL="114300" distR="114300" simplePos="0" relativeHeight="251659264" behindDoc="0" locked="0" layoutInCell="1" allowOverlap="1" wp14:anchorId="15C202CC" wp14:editId="70E7D0A3">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41612" w14:textId="77777777" w:rsidR="00D95C4C" w:rsidRPr="003B1923" w:rsidRDefault="00337CEB" w:rsidP="001D14FE">
    <w:pPr>
      <w:pStyle w:val="Header"/>
      <w:spacing w:after="520"/>
      <w:jc w:val="right"/>
      <w:rPr>
        <w:rFonts w:ascii="Arial" w:hAnsi="Arial" w:cs="Arial"/>
        <w:b/>
        <w:sz w:val="44"/>
        <w:szCs w:val="44"/>
        <w:lang w:val="pt-PT"/>
      </w:rPr>
    </w:pPr>
    <w:r w:rsidRPr="003B1923">
      <w:rPr>
        <w:rFonts w:ascii="Arial" w:hAnsi="Arial"/>
        <w:b/>
        <w:sz w:val="44"/>
        <w:lang w:val="pt-PT"/>
      </w:rPr>
      <w:t>13 COM</w:t>
    </w:r>
  </w:p>
  <w:p w14:paraId="6F3F84FB" w14:textId="67BA901B" w:rsidR="00D95C4C" w:rsidRPr="003B1923" w:rsidRDefault="00337CEB" w:rsidP="001D14FE">
    <w:pPr>
      <w:jc w:val="right"/>
      <w:rPr>
        <w:rFonts w:ascii="Arial" w:hAnsi="Arial" w:cs="Arial"/>
        <w:b/>
        <w:sz w:val="22"/>
        <w:szCs w:val="22"/>
        <w:lang w:val="pt-PT"/>
      </w:rPr>
    </w:pPr>
    <w:r w:rsidRPr="003B1923">
      <w:rPr>
        <w:rFonts w:ascii="Arial" w:hAnsi="Arial"/>
        <w:b/>
        <w:sz w:val="22"/>
        <w:lang w:val="pt-PT"/>
      </w:rPr>
      <w:t>ITH/18/13.COM/10.c</w:t>
    </w:r>
    <w:r w:rsidR="00484D07">
      <w:rPr>
        <w:rFonts w:ascii="Arial" w:hAnsi="Arial"/>
        <w:b/>
        <w:sz w:val="22"/>
        <w:lang w:val="pt-PT"/>
      </w:rPr>
      <w:t xml:space="preserve"> Add.</w:t>
    </w:r>
  </w:p>
  <w:p w14:paraId="72DD8638" w14:textId="677E2E9F" w:rsidR="00D95C4C" w:rsidRPr="003B1923" w:rsidRDefault="00D95C4C" w:rsidP="00B95626">
    <w:pPr>
      <w:jc w:val="right"/>
      <w:rPr>
        <w:rFonts w:ascii="Arial" w:eastAsiaTheme="minorEastAsia" w:hAnsi="Arial" w:cs="Arial"/>
        <w:b/>
        <w:sz w:val="22"/>
        <w:szCs w:val="22"/>
        <w:lang w:val="pt-PT"/>
      </w:rPr>
    </w:pPr>
    <w:r w:rsidRPr="003B1923">
      <w:rPr>
        <w:rFonts w:ascii="Arial" w:hAnsi="Arial"/>
        <w:b/>
        <w:sz w:val="22"/>
        <w:lang w:val="pt-PT"/>
      </w:rPr>
      <w:t>Paris,</w:t>
    </w:r>
    <w:r w:rsidR="009D7445">
      <w:rPr>
        <w:rFonts w:ascii="Arial" w:hAnsi="Arial"/>
        <w:b/>
        <w:sz w:val="22"/>
        <w:lang w:val="pt-PT"/>
      </w:rPr>
      <w:t xml:space="preserve"> le</w:t>
    </w:r>
    <w:r w:rsidRPr="003B1923">
      <w:rPr>
        <w:rFonts w:ascii="Arial" w:hAnsi="Arial"/>
        <w:b/>
        <w:sz w:val="22"/>
        <w:lang w:val="pt-PT"/>
      </w:rPr>
      <w:t xml:space="preserve"> </w:t>
    </w:r>
    <w:r w:rsidR="00B95626">
      <w:rPr>
        <w:rFonts w:ascii="Arial" w:hAnsi="Arial"/>
        <w:b/>
        <w:sz w:val="22"/>
        <w:lang w:val="pt-PT"/>
      </w:rPr>
      <w:t>2</w:t>
    </w:r>
    <w:r w:rsidR="00484D07">
      <w:rPr>
        <w:rFonts w:ascii="Arial" w:hAnsi="Arial"/>
        <w:b/>
        <w:sz w:val="22"/>
        <w:lang w:val="pt-PT"/>
      </w:rPr>
      <w:t>6</w:t>
    </w:r>
    <w:r w:rsidR="00AB044A">
      <w:rPr>
        <w:rFonts w:ascii="Arial" w:hAnsi="Arial"/>
        <w:b/>
        <w:sz w:val="22"/>
        <w:lang w:val="pt-PT"/>
      </w:rPr>
      <w:t xml:space="preserve"> </w:t>
    </w:r>
    <w:r w:rsidR="00484D07">
      <w:rPr>
        <w:rFonts w:ascii="Arial" w:hAnsi="Arial"/>
        <w:b/>
        <w:sz w:val="22"/>
        <w:lang w:val="pt-PT"/>
      </w:rPr>
      <w:t>novem</w:t>
    </w:r>
    <w:r w:rsidR="00AB044A">
      <w:rPr>
        <w:rFonts w:ascii="Arial" w:hAnsi="Arial"/>
        <w:b/>
        <w:sz w:val="22"/>
        <w:lang w:val="pt-PT"/>
      </w:rPr>
      <w:t>bre</w:t>
    </w:r>
    <w:r w:rsidRPr="003B1923">
      <w:rPr>
        <w:rFonts w:ascii="Arial" w:hAnsi="Arial"/>
        <w:b/>
        <w:sz w:val="22"/>
        <w:lang w:val="pt-PT"/>
      </w:rPr>
      <w:t xml:space="preserve"> 2018</w:t>
    </w:r>
  </w:p>
  <w:p w14:paraId="3773080F" w14:textId="77777777" w:rsidR="00D95C4C" w:rsidRPr="00F32C23" w:rsidRDefault="00D95C4C" w:rsidP="000048ED">
    <w:pPr>
      <w:jc w:val="right"/>
      <w:rPr>
        <w:rFonts w:ascii="Arial" w:hAnsi="Arial" w:cs="Arial"/>
        <w:b/>
        <w:sz w:val="22"/>
        <w:szCs w:val="22"/>
      </w:rPr>
    </w:pPr>
    <w:r>
      <w:rPr>
        <w:rFonts w:ascii="Arial" w:hAnsi="Arial"/>
        <w:b/>
        <w:sz w:val="22"/>
      </w:rPr>
      <w:t>Original : anglais</w:t>
    </w:r>
  </w:p>
  <w:p w14:paraId="5308E8B6" w14:textId="77777777" w:rsidR="00D95C4C" w:rsidRPr="00E95AE2" w:rsidRDefault="00D95C4C">
    <w:pPr>
      <w:pStyle w:val="Header"/>
      <w:rPr>
        <w:sz w:val="22"/>
        <w:szCs w:val="2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4BD4" w14:textId="77777777" w:rsidR="00484D07" w:rsidRPr="00E95AE2" w:rsidRDefault="00484D07">
    <w:pPr>
      <w:pStyle w:val="Header"/>
      <w:rPr>
        <w:sz w:val="22"/>
        <w:szCs w:val="22"/>
      </w:rPr>
    </w:pPr>
    <w:r>
      <w:rPr>
        <w:noProof/>
        <w:lang w:val="en-US" w:eastAsia="en-US" w:bidi="ar-SA"/>
      </w:rPr>
      <w:drawing>
        <wp:anchor distT="0" distB="0" distL="114300" distR="114300" simplePos="0" relativeHeight="251661312" behindDoc="0" locked="0" layoutInCell="1" allowOverlap="1" wp14:anchorId="3657ACD8" wp14:editId="5C8EBCEC">
          <wp:simplePos x="0" y="0"/>
          <wp:positionH relativeFrom="page">
            <wp:posOffset>342265</wp:posOffset>
          </wp:positionH>
          <wp:positionV relativeFrom="page">
            <wp:posOffset>255905</wp:posOffset>
          </wp:positionV>
          <wp:extent cx="2037600" cy="1530000"/>
          <wp:effectExtent l="0" t="0" r="1270" b="0"/>
          <wp:wrapNone/>
          <wp:docPr id="4"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E2EC8C" w14:textId="77777777" w:rsidR="00484D07" w:rsidRPr="003B1923" w:rsidRDefault="00484D07" w:rsidP="001D14FE">
    <w:pPr>
      <w:pStyle w:val="Header"/>
      <w:spacing w:after="520"/>
      <w:jc w:val="right"/>
      <w:rPr>
        <w:rFonts w:ascii="Arial" w:hAnsi="Arial" w:cs="Arial"/>
        <w:b/>
        <w:sz w:val="44"/>
        <w:szCs w:val="44"/>
        <w:lang w:val="pt-PT"/>
      </w:rPr>
    </w:pPr>
    <w:r w:rsidRPr="003B1923">
      <w:rPr>
        <w:rFonts w:ascii="Arial" w:hAnsi="Arial"/>
        <w:b/>
        <w:sz w:val="44"/>
        <w:lang w:val="pt-PT"/>
      </w:rPr>
      <w:t>13 COM</w:t>
    </w:r>
  </w:p>
  <w:p w14:paraId="319969E3" w14:textId="77777777" w:rsidR="00484D07" w:rsidRPr="003B1923" w:rsidRDefault="00484D07" w:rsidP="001D14FE">
    <w:pPr>
      <w:jc w:val="right"/>
      <w:rPr>
        <w:rFonts w:ascii="Arial" w:hAnsi="Arial" w:cs="Arial"/>
        <w:b/>
        <w:sz w:val="22"/>
        <w:szCs w:val="22"/>
        <w:lang w:val="pt-PT"/>
      </w:rPr>
    </w:pPr>
    <w:r w:rsidRPr="003B1923">
      <w:rPr>
        <w:rFonts w:ascii="Arial" w:hAnsi="Arial"/>
        <w:b/>
        <w:sz w:val="22"/>
        <w:lang w:val="pt-PT"/>
      </w:rPr>
      <w:t>ITH/18/13.COM/10.c</w:t>
    </w:r>
  </w:p>
  <w:p w14:paraId="657FF7B0" w14:textId="77777777" w:rsidR="00484D07" w:rsidRPr="003B1923" w:rsidRDefault="00484D07" w:rsidP="00B95626">
    <w:pPr>
      <w:jc w:val="right"/>
      <w:rPr>
        <w:rFonts w:ascii="Arial" w:eastAsiaTheme="minorEastAsia" w:hAnsi="Arial" w:cs="Arial"/>
        <w:b/>
        <w:sz w:val="22"/>
        <w:szCs w:val="22"/>
        <w:lang w:val="pt-PT"/>
      </w:rPr>
    </w:pPr>
    <w:r w:rsidRPr="003B1923">
      <w:rPr>
        <w:rFonts w:ascii="Arial" w:hAnsi="Arial"/>
        <w:b/>
        <w:sz w:val="22"/>
        <w:lang w:val="pt-PT"/>
      </w:rPr>
      <w:t>Paris,</w:t>
    </w:r>
    <w:r>
      <w:rPr>
        <w:rFonts w:ascii="Arial" w:hAnsi="Arial"/>
        <w:b/>
        <w:sz w:val="22"/>
        <w:lang w:val="pt-PT"/>
      </w:rPr>
      <w:t xml:space="preserve"> le</w:t>
    </w:r>
    <w:r w:rsidRPr="003B1923">
      <w:rPr>
        <w:rFonts w:ascii="Arial" w:hAnsi="Arial"/>
        <w:b/>
        <w:sz w:val="22"/>
        <w:lang w:val="pt-PT"/>
      </w:rPr>
      <w:t xml:space="preserve"> </w:t>
    </w:r>
    <w:r>
      <w:rPr>
        <w:rFonts w:ascii="Arial" w:hAnsi="Arial"/>
        <w:b/>
        <w:sz w:val="22"/>
        <w:lang w:val="pt-PT"/>
      </w:rPr>
      <w:t>24 octobre</w:t>
    </w:r>
    <w:r w:rsidRPr="003B1923">
      <w:rPr>
        <w:rFonts w:ascii="Arial" w:hAnsi="Arial"/>
        <w:b/>
        <w:sz w:val="22"/>
        <w:lang w:val="pt-PT"/>
      </w:rPr>
      <w:t xml:space="preserve"> 2018</w:t>
    </w:r>
  </w:p>
  <w:p w14:paraId="794E0D0D" w14:textId="77777777" w:rsidR="00484D07" w:rsidRPr="00F32C23" w:rsidRDefault="00484D07" w:rsidP="000048ED">
    <w:pPr>
      <w:jc w:val="right"/>
      <w:rPr>
        <w:rFonts w:ascii="Arial" w:hAnsi="Arial" w:cs="Arial"/>
        <w:b/>
        <w:sz w:val="22"/>
        <w:szCs w:val="22"/>
      </w:rPr>
    </w:pPr>
    <w:r>
      <w:rPr>
        <w:rFonts w:ascii="Arial" w:hAnsi="Arial"/>
        <w:b/>
        <w:sz w:val="22"/>
      </w:rPr>
      <w:t>Original : anglais</w:t>
    </w:r>
  </w:p>
  <w:p w14:paraId="42579E10" w14:textId="77777777" w:rsidR="00484D07" w:rsidRPr="00E95AE2" w:rsidRDefault="00484D07">
    <w:pPr>
      <w:pStyle w:val="Head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ADC2C16"/>
    <w:multiLevelType w:val="hybridMultilevel"/>
    <w:tmpl w:val="7D48D0AC"/>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8C1030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15"/>
  </w:num>
  <w:num w:numId="5">
    <w:abstractNumId w:val="14"/>
  </w:num>
  <w:num w:numId="6">
    <w:abstractNumId w:val="0"/>
  </w:num>
  <w:num w:numId="7">
    <w:abstractNumId w:val="3"/>
  </w:num>
  <w:num w:numId="8">
    <w:abstractNumId w:val="11"/>
  </w:num>
  <w:num w:numId="9">
    <w:abstractNumId w:val="5"/>
  </w:num>
  <w:num w:numId="10">
    <w:abstractNumId w:val="8"/>
  </w:num>
  <w:num w:numId="11">
    <w:abstractNumId w:val="10"/>
  </w:num>
  <w:num w:numId="12">
    <w:abstractNumId w:val="9"/>
  </w:num>
  <w:num w:numId="13">
    <w:abstractNumId w:val="4"/>
  </w:num>
  <w:num w:numId="14">
    <w:abstractNumId w:val="13"/>
  </w:num>
  <w:num w:numId="15">
    <w:abstractNumId w:val="5"/>
    <w:lvlOverride w:ilvl="0">
      <w:startOverride w:val="1"/>
    </w:lvlOverride>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41A66"/>
    <w:rsid w:val="0005176E"/>
    <w:rsid w:val="00057F21"/>
    <w:rsid w:val="00065C78"/>
    <w:rsid w:val="000765F7"/>
    <w:rsid w:val="00077AB7"/>
    <w:rsid w:val="00081CD8"/>
    <w:rsid w:val="00090A04"/>
    <w:rsid w:val="00096AE9"/>
    <w:rsid w:val="000A7F0E"/>
    <w:rsid w:val="000B1C8F"/>
    <w:rsid w:val="000C0D61"/>
    <w:rsid w:val="000F3A3F"/>
    <w:rsid w:val="00102557"/>
    <w:rsid w:val="001153DF"/>
    <w:rsid w:val="00164D56"/>
    <w:rsid w:val="00167B10"/>
    <w:rsid w:val="0017402F"/>
    <w:rsid w:val="00196C1B"/>
    <w:rsid w:val="001B0F73"/>
    <w:rsid w:val="001C2DB7"/>
    <w:rsid w:val="001D14FE"/>
    <w:rsid w:val="001D5C04"/>
    <w:rsid w:val="001F26CF"/>
    <w:rsid w:val="00222A2D"/>
    <w:rsid w:val="00223029"/>
    <w:rsid w:val="00234745"/>
    <w:rsid w:val="002351A6"/>
    <w:rsid w:val="002407AF"/>
    <w:rsid w:val="0027466B"/>
    <w:rsid w:val="002838A5"/>
    <w:rsid w:val="00285BB4"/>
    <w:rsid w:val="002930C4"/>
    <w:rsid w:val="002C09E3"/>
    <w:rsid w:val="002F2B20"/>
    <w:rsid w:val="003008A9"/>
    <w:rsid w:val="00304940"/>
    <w:rsid w:val="00324B0C"/>
    <w:rsid w:val="00335F04"/>
    <w:rsid w:val="00337CEB"/>
    <w:rsid w:val="00344B58"/>
    <w:rsid w:val="0034539A"/>
    <w:rsid w:val="00345CB4"/>
    <w:rsid w:val="0036579F"/>
    <w:rsid w:val="00373B56"/>
    <w:rsid w:val="00373D59"/>
    <w:rsid w:val="00375D42"/>
    <w:rsid w:val="003950DF"/>
    <w:rsid w:val="003B1923"/>
    <w:rsid w:val="003D069C"/>
    <w:rsid w:val="003D7646"/>
    <w:rsid w:val="003E424A"/>
    <w:rsid w:val="003F113A"/>
    <w:rsid w:val="003F3E63"/>
    <w:rsid w:val="00400413"/>
    <w:rsid w:val="00407480"/>
    <w:rsid w:val="00414643"/>
    <w:rsid w:val="00421541"/>
    <w:rsid w:val="004421E5"/>
    <w:rsid w:val="00452284"/>
    <w:rsid w:val="00457C8E"/>
    <w:rsid w:val="00484D07"/>
    <w:rsid w:val="004856CA"/>
    <w:rsid w:val="00487E67"/>
    <w:rsid w:val="00494970"/>
    <w:rsid w:val="0049705E"/>
    <w:rsid w:val="004A34A0"/>
    <w:rsid w:val="004F6993"/>
    <w:rsid w:val="005008A8"/>
    <w:rsid w:val="00503DA2"/>
    <w:rsid w:val="00526B7B"/>
    <w:rsid w:val="005308CE"/>
    <w:rsid w:val="0053318C"/>
    <w:rsid w:val="00551588"/>
    <w:rsid w:val="0057439C"/>
    <w:rsid w:val="005B0127"/>
    <w:rsid w:val="005B7A35"/>
    <w:rsid w:val="005C4B73"/>
    <w:rsid w:val="005E1D2B"/>
    <w:rsid w:val="005E7074"/>
    <w:rsid w:val="005F2BAF"/>
    <w:rsid w:val="00600D93"/>
    <w:rsid w:val="00617419"/>
    <w:rsid w:val="0063300C"/>
    <w:rsid w:val="00655736"/>
    <w:rsid w:val="00663B8D"/>
    <w:rsid w:val="00696C8D"/>
    <w:rsid w:val="006A2AC2"/>
    <w:rsid w:val="006A3617"/>
    <w:rsid w:val="006E0D35"/>
    <w:rsid w:val="006E46E4"/>
    <w:rsid w:val="00705087"/>
    <w:rsid w:val="00711D1B"/>
    <w:rsid w:val="007124FD"/>
    <w:rsid w:val="00717DA5"/>
    <w:rsid w:val="00744484"/>
    <w:rsid w:val="00747566"/>
    <w:rsid w:val="00747C87"/>
    <w:rsid w:val="00773188"/>
    <w:rsid w:val="00783782"/>
    <w:rsid w:val="00784B8C"/>
    <w:rsid w:val="007879E1"/>
    <w:rsid w:val="007F67AE"/>
    <w:rsid w:val="00823A11"/>
    <w:rsid w:val="0085405E"/>
    <w:rsid w:val="0085414A"/>
    <w:rsid w:val="0086095B"/>
    <w:rsid w:val="0086269D"/>
    <w:rsid w:val="0086543A"/>
    <w:rsid w:val="008724E5"/>
    <w:rsid w:val="00884A9D"/>
    <w:rsid w:val="0088512B"/>
    <w:rsid w:val="00890FE6"/>
    <w:rsid w:val="008A2B2D"/>
    <w:rsid w:val="008A4E1E"/>
    <w:rsid w:val="008C296C"/>
    <w:rsid w:val="008D4305"/>
    <w:rsid w:val="008E1A85"/>
    <w:rsid w:val="008E477A"/>
    <w:rsid w:val="009163A7"/>
    <w:rsid w:val="0092356F"/>
    <w:rsid w:val="00946D0B"/>
    <w:rsid w:val="00955877"/>
    <w:rsid w:val="00991208"/>
    <w:rsid w:val="009A18CD"/>
    <w:rsid w:val="009A25D8"/>
    <w:rsid w:val="009D5428"/>
    <w:rsid w:val="009D7445"/>
    <w:rsid w:val="009E7706"/>
    <w:rsid w:val="00A12558"/>
    <w:rsid w:val="00A13903"/>
    <w:rsid w:val="00A34ED5"/>
    <w:rsid w:val="00A44816"/>
    <w:rsid w:val="00A45DBF"/>
    <w:rsid w:val="00A755A2"/>
    <w:rsid w:val="00AA2589"/>
    <w:rsid w:val="00AA6660"/>
    <w:rsid w:val="00AB044A"/>
    <w:rsid w:val="00AB2C36"/>
    <w:rsid w:val="00AB34FF"/>
    <w:rsid w:val="00AB6DDE"/>
    <w:rsid w:val="00AB70B6"/>
    <w:rsid w:val="00AD1A86"/>
    <w:rsid w:val="00AE103E"/>
    <w:rsid w:val="00AF0A07"/>
    <w:rsid w:val="00AF4AEC"/>
    <w:rsid w:val="00AF625E"/>
    <w:rsid w:val="00B95626"/>
    <w:rsid w:val="00BB04AF"/>
    <w:rsid w:val="00BD52C9"/>
    <w:rsid w:val="00BD5A0C"/>
    <w:rsid w:val="00BE6354"/>
    <w:rsid w:val="00C138D1"/>
    <w:rsid w:val="00C17340"/>
    <w:rsid w:val="00C23A97"/>
    <w:rsid w:val="00C34EE5"/>
    <w:rsid w:val="00C64855"/>
    <w:rsid w:val="00C70EA7"/>
    <w:rsid w:val="00C7306A"/>
    <w:rsid w:val="00C7433F"/>
    <w:rsid w:val="00C7516E"/>
    <w:rsid w:val="00C75770"/>
    <w:rsid w:val="00CA56BB"/>
    <w:rsid w:val="00CB0542"/>
    <w:rsid w:val="00CB297E"/>
    <w:rsid w:val="00CF150F"/>
    <w:rsid w:val="00D00B2B"/>
    <w:rsid w:val="00D24877"/>
    <w:rsid w:val="00D51F27"/>
    <w:rsid w:val="00D80C9C"/>
    <w:rsid w:val="00D8250F"/>
    <w:rsid w:val="00D95C4C"/>
    <w:rsid w:val="00DA36ED"/>
    <w:rsid w:val="00DA40D7"/>
    <w:rsid w:val="00DE34F1"/>
    <w:rsid w:val="00DE6160"/>
    <w:rsid w:val="00DF4942"/>
    <w:rsid w:val="00E038B3"/>
    <w:rsid w:val="00E244E1"/>
    <w:rsid w:val="00E445A1"/>
    <w:rsid w:val="00E627B1"/>
    <w:rsid w:val="00E70169"/>
    <w:rsid w:val="00E9376C"/>
    <w:rsid w:val="00E95AE2"/>
    <w:rsid w:val="00EA335E"/>
    <w:rsid w:val="00EA528C"/>
    <w:rsid w:val="00EA580C"/>
    <w:rsid w:val="00EC6F8D"/>
    <w:rsid w:val="00EE24D3"/>
    <w:rsid w:val="00EE49F4"/>
    <w:rsid w:val="00EF34E2"/>
    <w:rsid w:val="00F0430D"/>
    <w:rsid w:val="00F30DC6"/>
    <w:rsid w:val="00F32C23"/>
    <w:rsid w:val="00F53DE9"/>
    <w:rsid w:val="00F55A72"/>
    <w:rsid w:val="00F576CB"/>
    <w:rsid w:val="00F66E92"/>
    <w:rsid w:val="00F7035D"/>
    <w:rsid w:val="00F71A02"/>
    <w:rsid w:val="00FA0D63"/>
    <w:rsid w:val="00FD1226"/>
    <w:rsid w:val="00FD4D37"/>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3C814E"/>
  <w15:docId w15:val="{6E74DA5A-576B-4D09-AE04-73870005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fr-FR"/>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FD4D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950DF"/>
    <w:rPr>
      <w:sz w:val="16"/>
      <w:szCs w:val="16"/>
    </w:rPr>
  </w:style>
  <w:style w:type="paragraph" w:styleId="CommentText">
    <w:name w:val="annotation text"/>
    <w:basedOn w:val="Normal"/>
    <w:link w:val="CommentTextChar"/>
    <w:uiPriority w:val="99"/>
    <w:semiHidden/>
    <w:unhideWhenUsed/>
    <w:rsid w:val="003950DF"/>
    <w:rPr>
      <w:rFonts w:ascii="Arial" w:hAnsi="Arial"/>
      <w:sz w:val="20"/>
      <w:szCs w:val="20"/>
    </w:rPr>
  </w:style>
  <w:style w:type="character" w:customStyle="1" w:styleId="CommentTextChar">
    <w:name w:val="Comment Text Char"/>
    <w:basedOn w:val="DefaultParagraphFont"/>
    <w:link w:val="CommentText"/>
    <w:uiPriority w:val="99"/>
    <w:semiHidden/>
    <w:rsid w:val="003950DF"/>
    <w:rPr>
      <w:rFonts w:ascii="Arial" w:eastAsia="Times New Roman" w:hAnsi="Arial"/>
      <w:lang w:val="fr-FR"/>
    </w:rPr>
  </w:style>
  <w:style w:type="character" w:styleId="Hyperlink">
    <w:name w:val="Hyperlink"/>
    <w:rsid w:val="003950DF"/>
    <w:rPr>
      <w:rFonts w:cs="Times New Roman"/>
      <w:color w:val="0000FF"/>
      <w:u w:val="single"/>
    </w:rPr>
  </w:style>
  <w:style w:type="paragraph" w:customStyle="1" w:styleId="DocMain">
    <w:name w:val="Doc_Main"/>
    <w:basedOn w:val="Normal"/>
    <w:rsid w:val="003950DF"/>
    <w:pPr>
      <w:spacing w:before="240" w:after="240"/>
      <w:ind w:left="720" w:hanging="360"/>
      <w:jc w:val="both"/>
    </w:pPr>
    <w:rPr>
      <w:rFonts w:ascii="Arial" w:eastAsia="SimSun" w:hAnsi="Arial" w:cs="Arial"/>
      <w:sz w:val="22"/>
      <w:szCs w:val="22"/>
    </w:rPr>
  </w:style>
  <w:style w:type="paragraph" w:customStyle="1" w:styleId="NoSpacing1">
    <w:name w:val="No Spacing1"/>
    <w:rsid w:val="003950DF"/>
    <w:rPr>
      <w:sz w:val="22"/>
      <w:szCs w:val="22"/>
    </w:rPr>
  </w:style>
  <w:style w:type="character" w:customStyle="1" w:styleId="Heading1Char">
    <w:name w:val="Heading 1 Char"/>
    <w:basedOn w:val="DefaultParagraphFont"/>
    <w:link w:val="Heading1"/>
    <w:uiPriority w:val="9"/>
    <w:rsid w:val="00FD4D37"/>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890FE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65C78"/>
    <w:rPr>
      <w:rFonts w:ascii="Times New Roman" w:hAnsi="Times New Roman"/>
      <w:b/>
      <w:bCs/>
    </w:rPr>
  </w:style>
  <w:style w:type="character" w:customStyle="1" w:styleId="CommentSubjectChar">
    <w:name w:val="Comment Subject Char"/>
    <w:basedOn w:val="CommentTextChar"/>
    <w:link w:val="CommentSubject"/>
    <w:uiPriority w:val="99"/>
    <w:semiHidden/>
    <w:rsid w:val="00065C78"/>
    <w:rPr>
      <w:rFonts w:ascii="Times New Roman" w:eastAsia="Times New Roman" w:hAnsi="Times New Roman"/>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10c-registre-01014" TargetMode="External"/><Relationship Id="rId13" Type="http://schemas.openxmlformats.org/officeDocument/2006/relationships/hyperlink" Target="https://ich.unesco.org/fr/10c-registre-01014"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ITH-18-13.COM-10-FR.docx" TargetMode="External"/><Relationship Id="rId17" Type="http://schemas.openxmlformats.org/officeDocument/2006/relationships/hyperlink" Target="#Recommends_that_the_committee_approve"/><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Recommends_not_to_select"/><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h.unesco.org/fr/10c-registre-010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2616-FAAF-47E6-B28F-6DED94A7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58</TotalTime>
  <Pages>7</Pages>
  <Words>2631</Words>
  <Characters>15000</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3</cp:revision>
  <cp:lastPrinted>2018-08-09T10:31:00Z</cp:lastPrinted>
  <dcterms:created xsi:type="dcterms:W3CDTF">2018-11-26T09:02:00Z</dcterms:created>
  <dcterms:modified xsi:type="dcterms:W3CDTF">2018-11-26T09:57:00Z</dcterms:modified>
</cp:coreProperties>
</file>